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6207A2">
      <w:pPr>
        <w:spacing w:line="500" w:lineRule="exact"/>
        <w:jc w:val="left"/>
        <w:rPr>
          <w:rFonts w:hint="default" w:ascii="Times New Roman" w:hAnsi="Times New Roman" w:eastAsia="黑体" w:cs="Times New Roman"/>
          <w:b w:val="0"/>
          <w:bCs w:val="0"/>
          <w:color w:val="auto"/>
          <w:sz w:val="32"/>
          <w:szCs w:val="32"/>
          <w:highlight w:val="none"/>
          <w:lang w:val="en" w:eastAsia="zh-CN"/>
        </w:rPr>
      </w:pPr>
      <w:r>
        <w:rPr>
          <w:rFonts w:hint="default" w:ascii="Times New Roman" w:hAnsi="Times New Roman" w:eastAsia="黑体" w:cs="Times New Roman"/>
          <w:b w:val="0"/>
          <w:bCs w:val="0"/>
          <w:color w:val="auto"/>
          <w:sz w:val="32"/>
          <w:szCs w:val="32"/>
          <w:highlight w:val="none"/>
          <w:lang w:val="en"/>
        </w:rPr>
        <w:t>附件</w:t>
      </w:r>
      <w:r>
        <w:rPr>
          <w:rFonts w:hint="default" w:ascii="Times New Roman" w:hAnsi="Times New Roman" w:eastAsia="黑体" w:cs="Times New Roman"/>
          <w:b w:val="0"/>
          <w:bCs w:val="0"/>
          <w:color w:val="auto"/>
          <w:sz w:val="32"/>
          <w:szCs w:val="32"/>
          <w:highlight w:val="none"/>
          <w:lang w:val="en-US" w:eastAsia="zh-CN"/>
        </w:rPr>
        <w:t>3</w:t>
      </w:r>
    </w:p>
    <w:p w14:paraId="74238431">
      <w:pPr>
        <w:spacing w:line="600" w:lineRule="exact"/>
        <w:jc w:val="center"/>
        <w:rPr>
          <w:rFonts w:hint="eastAsia" w:ascii="方正小标宋简体" w:hAnsi="方正小标宋简体" w:eastAsia="方正小标宋简体" w:cs="方正小标宋简体"/>
          <w:b w:val="0"/>
          <w:bCs w:val="0"/>
          <w:color w:val="auto"/>
          <w:sz w:val="44"/>
          <w:szCs w:val="44"/>
          <w:highlight w:val="none"/>
        </w:rPr>
      </w:pPr>
    </w:p>
    <w:p w14:paraId="3E1B4E2D">
      <w:pPr>
        <w:spacing w:line="600" w:lineRule="exact"/>
        <w:jc w:val="center"/>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简体" w:hAnsi="方正小标宋简体" w:eastAsia="方正小标宋简体" w:cs="方正小标宋简体"/>
          <w:b w:val="0"/>
          <w:bCs w:val="0"/>
          <w:color w:val="auto"/>
          <w:sz w:val="44"/>
          <w:szCs w:val="44"/>
          <w:highlight w:val="none"/>
        </w:rPr>
        <w:t>农业和资源环境领域重点研发计划</w:t>
      </w:r>
    </w:p>
    <w:p w14:paraId="1AB725B8">
      <w:pPr>
        <w:spacing w:line="600" w:lineRule="exact"/>
        <w:jc w:val="center"/>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简体" w:hAnsi="方正小标宋简体" w:eastAsia="方正小标宋简体" w:cs="方正小标宋简体"/>
          <w:b w:val="0"/>
          <w:bCs w:val="0"/>
          <w:color w:val="auto"/>
          <w:sz w:val="44"/>
          <w:szCs w:val="44"/>
          <w:highlight w:val="none"/>
        </w:rPr>
        <w:t>项目申报指南</w:t>
      </w:r>
    </w:p>
    <w:p w14:paraId="4C25CF39">
      <w:pPr>
        <w:pStyle w:val="4"/>
        <w:spacing w:line="600" w:lineRule="exact"/>
        <w:jc w:val="center"/>
        <w:rPr>
          <w:rFonts w:hint="eastAsia" w:ascii="方正小标宋简体" w:hAnsi="方正小标宋简体" w:eastAsia="方正小标宋简体" w:cs="方正小标宋简体"/>
          <w:color w:val="auto"/>
          <w:sz w:val="44"/>
          <w:szCs w:val="44"/>
          <w:highlight w:val="none"/>
        </w:rPr>
      </w:pPr>
    </w:p>
    <w:p w14:paraId="39E1751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eastAsia="zh-CN"/>
        </w:rPr>
        <w:t>一、申报指南清单</w:t>
      </w:r>
    </w:p>
    <w:tbl>
      <w:tblPr>
        <w:tblStyle w:val="6"/>
        <w:tblW w:w="865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54"/>
        <w:gridCol w:w="1836"/>
        <w:gridCol w:w="5668"/>
      </w:tblGrid>
      <w:tr w14:paraId="7E746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tblHeader/>
          <w:jc w:val="center"/>
        </w:trPr>
        <w:tc>
          <w:tcPr>
            <w:tcW w:w="1154" w:type="dxa"/>
            <w:tcBorders>
              <w:top w:val="single" w:color="000000" w:sz="4" w:space="0"/>
              <w:left w:val="single" w:color="000000" w:sz="4" w:space="0"/>
              <w:bottom w:val="single" w:color="000000" w:sz="4" w:space="0"/>
              <w:right w:val="single" w:color="000000" w:sz="4" w:space="0"/>
            </w:tcBorders>
            <w:noWrap w:val="0"/>
            <w:vAlign w:val="center"/>
          </w:tcPr>
          <w:p w14:paraId="01E3516E">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b/>
                <w:bCs/>
                <w:i w:val="0"/>
                <w:color w:val="auto"/>
                <w:sz w:val="28"/>
                <w:szCs w:val="28"/>
                <w:highlight w:val="none"/>
                <w:u w:val="none"/>
              </w:rPr>
            </w:pPr>
            <w:r>
              <w:rPr>
                <w:rFonts w:hint="default" w:ascii="Times New Roman" w:hAnsi="Times New Roman" w:eastAsia="仿宋_GB2312" w:cs="Times New Roman"/>
                <w:b/>
                <w:bCs/>
                <w:i w:val="0"/>
                <w:color w:val="auto"/>
                <w:kern w:val="0"/>
                <w:sz w:val="28"/>
                <w:szCs w:val="28"/>
                <w:highlight w:val="none"/>
                <w:u w:val="none"/>
                <w:lang w:val="en-US" w:eastAsia="zh-CN" w:bidi="ar"/>
              </w:rPr>
              <w:t>序号</w:t>
            </w:r>
          </w:p>
        </w:tc>
        <w:tc>
          <w:tcPr>
            <w:tcW w:w="1836" w:type="dxa"/>
            <w:tcBorders>
              <w:top w:val="single" w:color="000000" w:sz="4" w:space="0"/>
              <w:left w:val="single" w:color="000000" w:sz="4" w:space="0"/>
              <w:bottom w:val="single" w:color="000000" w:sz="4" w:space="0"/>
              <w:right w:val="single" w:color="000000" w:sz="4" w:space="0"/>
            </w:tcBorders>
            <w:noWrap w:val="0"/>
            <w:vAlign w:val="center"/>
          </w:tcPr>
          <w:p w14:paraId="4DB54AC2">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b/>
                <w:bCs/>
                <w:i w:val="0"/>
                <w:color w:val="auto"/>
                <w:sz w:val="28"/>
                <w:szCs w:val="28"/>
                <w:highlight w:val="none"/>
                <w:u w:val="none"/>
              </w:rPr>
            </w:pPr>
            <w:r>
              <w:rPr>
                <w:rFonts w:hint="default" w:ascii="Times New Roman" w:hAnsi="Times New Roman" w:eastAsia="仿宋_GB2312" w:cs="Times New Roman"/>
                <w:b/>
                <w:bCs/>
                <w:i w:val="0"/>
                <w:color w:val="auto"/>
                <w:kern w:val="0"/>
                <w:sz w:val="28"/>
                <w:szCs w:val="28"/>
                <w:highlight w:val="none"/>
                <w:u w:val="none"/>
                <w:lang w:val="en-US" w:eastAsia="zh-CN" w:bidi="ar"/>
              </w:rPr>
              <w:t>技术领域</w:t>
            </w:r>
          </w:p>
        </w:tc>
        <w:tc>
          <w:tcPr>
            <w:tcW w:w="5668" w:type="dxa"/>
            <w:tcBorders>
              <w:top w:val="single" w:color="000000" w:sz="4" w:space="0"/>
              <w:left w:val="single" w:color="000000" w:sz="4" w:space="0"/>
              <w:bottom w:val="single" w:color="000000" w:sz="4" w:space="0"/>
              <w:right w:val="single" w:color="000000" w:sz="4" w:space="0"/>
            </w:tcBorders>
            <w:noWrap w:val="0"/>
            <w:vAlign w:val="center"/>
          </w:tcPr>
          <w:p w14:paraId="1A977654">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b/>
                <w:bCs/>
                <w:i w:val="0"/>
                <w:color w:val="auto"/>
                <w:sz w:val="28"/>
                <w:szCs w:val="28"/>
                <w:highlight w:val="none"/>
                <w:u w:val="none"/>
                <w:lang w:val="en-US"/>
              </w:rPr>
            </w:pPr>
            <w:r>
              <w:rPr>
                <w:rFonts w:hint="default" w:ascii="Times New Roman" w:hAnsi="Times New Roman" w:eastAsia="仿宋_GB2312" w:cs="Times New Roman"/>
                <w:b/>
                <w:bCs/>
                <w:i w:val="0"/>
                <w:color w:val="auto"/>
                <w:kern w:val="0"/>
                <w:sz w:val="28"/>
                <w:szCs w:val="28"/>
                <w:highlight w:val="none"/>
                <w:u w:val="none"/>
                <w:lang w:val="en-US" w:eastAsia="zh-CN" w:bidi="ar"/>
              </w:rPr>
              <w:t>任务名称</w:t>
            </w:r>
          </w:p>
        </w:tc>
      </w:tr>
      <w:tr w14:paraId="7DD7F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000000" w:sz="4" w:space="0"/>
            </w:tcBorders>
            <w:noWrap/>
            <w:vAlign w:val="center"/>
          </w:tcPr>
          <w:p w14:paraId="3B864653">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kern w:val="0"/>
                <w:sz w:val="28"/>
                <w:szCs w:val="28"/>
                <w:highlight w:val="none"/>
                <w:u w:val="none"/>
                <w:lang w:val="en-US" w:eastAsia="zh-CN" w:bidi="ar"/>
              </w:rPr>
              <w:t>1</w:t>
            </w:r>
          </w:p>
        </w:tc>
        <w:tc>
          <w:tcPr>
            <w:tcW w:w="1836" w:type="dxa"/>
            <w:vMerge w:val="restart"/>
            <w:tcBorders>
              <w:top w:val="single" w:color="000000" w:sz="4" w:space="0"/>
              <w:left w:val="single" w:color="000000" w:sz="4" w:space="0"/>
              <w:right w:val="single" w:color="000000" w:sz="4" w:space="0"/>
            </w:tcBorders>
            <w:noWrap/>
            <w:vAlign w:val="center"/>
          </w:tcPr>
          <w:p w14:paraId="606595B6">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kern w:val="0"/>
                <w:sz w:val="28"/>
                <w:szCs w:val="28"/>
                <w:highlight w:val="none"/>
                <w:u w:val="none"/>
                <w:lang w:val="en-US" w:eastAsia="zh-CN" w:bidi="ar"/>
              </w:rPr>
              <w:t>种植业</w:t>
            </w:r>
          </w:p>
        </w:tc>
        <w:tc>
          <w:tcPr>
            <w:tcW w:w="5668" w:type="dxa"/>
            <w:tcBorders>
              <w:top w:val="single" w:color="000000" w:sz="4" w:space="0"/>
              <w:left w:val="single" w:color="000000" w:sz="4" w:space="0"/>
              <w:bottom w:val="single" w:color="000000" w:sz="4" w:space="0"/>
              <w:right w:val="single" w:color="000000" w:sz="4" w:space="0"/>
            </w:tcBorders>
            <w:noWrap/>
            <w:vAlign w:val="center"/>
          </w:tcPr>
          <w:p w14:paraId="6DEF8020">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color w:val="auto"/>
                <w:kern w:val="0"/>
                <w:sz w:val="28"/>
                <w:szCs w:val="28"/>
                <w:highlight w:val="none"/>
              </w:rPr>
              <w:t>环境友好型水稻定向育种与应用</w:t>
            </w:r>
          </w:p>
        </w:tc>
      </w:tr>
      <w:tr w14:paraId="241E2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000000" w:sz="4" w:space="0"/>
            </w:tcBorders>
            <w:noWrap/>
            <w:vAlign w:val="center"/>
          </w:tcPr>
          <w:p w14:paraId="56B6FA49">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kern w:val="0"/>
                <w:sz w:val="28"/>
                <w:szCs w:val="28"/>
                <w:highlight w:val="none"/>
                <w:u w:val="none"/>
                <w:lang w:val="en-US" w:eastAsia="zh-CN" w:bidi="ar"/>
              </w:rPr>
              <w:t>2</w:t>
            </w:r>
          </w:p>
        </w:tc>
        <w:tc>
          <w:tcPr>
            <w:tcW w:w="1836" w:type="dxa"/>
            <w:vMerge w:val="continue"/>
            <w:tcBorders>
              <w:left w:val="single" w:color="000000" w:sz="4" w:space="0"/>
              <w:right w:val="single" w:color="000000" w:sz="4" w:space="0"/>
            </w:tcBorders>
            <w:noWrap/>
            <w:vAlign w:val="center"/>
          </w:tcPr>
          <w:p w14:paraId="751C01D2">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000000" w:sz="4" w:space="0"/>
              <w:bottom w:val="single" w:color="000000" w:sz="4" w:space="0"/>
              <w:right w:val="single" w:color="000000" w:sz="4" w:space="0"/>
            </w:tcBorders>
            <w:noWrap/>
            <w:vAlign w:val="center"/>
          </w:tcPr>
          <w:p w14:paraId="78DAAFF9">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color w:val="auto"/>
                <w:kern w:val="0"/>
                <w:sz w:val="28"/>
                <w:szCs w:val="28"/>
                <w:highlight w:val="none"/>
              </w:rPr>
              <w:t>稻田肥沃耕层快速重建及产能提升技术研发与集成示范</w:t>
            </w:r>
          </w:p>
        </w:tc>
      </w:tr>
      <w:tr w14:paraId="379CA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000000" w:sz="4" w:space="0"/>
            </w:tcBorders>
            <w:noWrap/>
            <w:vAlign w:val="center"/>
          </w:tcPr>
          <w:p w14:paraId="62496AC2">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kern w:val="0"/>
                <w:sz w:val="28"/>
                <w:szCs w:val="28"/>
                <w:highlight w:val="none"/>
                <w:u w:val="none"/>
                <w:lang w:val="en-US" w:eastAsia="zh-CN" w:bidi="ar"/>
              </w:rPr>
              <w:t>3</w:t>
            </w:r>
          </w:p>
        </w:tc>
        <w:tc>
          <w:tcPr>
            <w:tcW w:w="1836" w:type="dxa"/>
            <w:vMerge w:val="continue"/>
            <w:tcBorders>
              <w:left w:val="single" w:color="000000" w:sz="4" w:space="0"/>
              <w:right w:val="single" w:color="000000" w:sz="4" w:space="0"/>
            </w:tcBorders>
            <w:noWrap/>
            <w:vAlign w:val="center"/>
          </w:tcPr>
          <w:p w14:paraId="59C7E3B9">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000000" w:sz="4" w:space="0"/>
              <w:bottom w:val="single" w:color="000000" w:sz="4" w:space="0"/>
              <w:right w:val="single" w:color="000000" w:sz="4" w:space="0"/>
            </w:tcBorders>
            <w:noWrap/>
            <w:vAlign w:val="center"/>
          </w:tcPr>
          <w:p w14:paraId="36757AAF">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sz w:val="28"/>
                <w:szCs w:val="28"/>
                <w:highlight w:val="none"/>
                <w:u w:val="none"/>
              </w:rPr>
              <w:t>镉低积累早熟高产优质晚籼稻新品种选育与应用</w:t>
            </w:r>
          </w:p>
        </w:tc>
      </w:tr>
      <w:tr w14:paraId="7E821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000000" w:sz="4" w:space="0"/>
            </w:tcBorders>
            <w:noWrap/>
            <w:vAlign w:val="center"/>
          </w:tcPr>
          <w:p w14:paraId="28D2EBB6">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kern w:val="0"/>
                <w:sz w:val="28"/>
                <w:szCs w:val="28"/>
                <w:highlight w:val="none"/>
                <w:u w:val="none"/>
                <w:lang w:val="en-US" w:eastAsia="zh-CN" w:bidi="ar"/>
              </w:rPr>
              <w:t>4</w:t>
            </w:r>
          </w:p>
        </w:tc>
        <w:tc>
          <w:tcPr>
            <w:tcW w:w="1836" w:type="dxa"/>
            <w:vMerge w:val="continue"/>
            <w:tcBorders>
              <w:left w:val="single" w:color="000000" w:sz="4" w:space="0"/>
              <w:right w:val="single" w:color="000000" w:sz="4" w:space="0"/>
            </w:tcBorders>
            <w:noWrap/>
            <w:vAlign w:val="center"/>
          </w:tcPr>
          <w:p w14:paraId="4FC2DEAC">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000000" w:sz="4" w:space="0"/>
              <w:bottom w:val="single" w:color="000000" w:sz="4" w:space="0"/>
              <w:right w:val="single" w:color="000000" w:sz="4" w:space="0"/>
            </w:tcBorders>
            <w:noWrap/>
            <w:vAlign w:val="center"/>
          </w:tcPr>
          <w:p w14:paraId="4FC8CA48">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color w:val="auto"/>
                <w:kern w:val="0"/>
                <w:sz w:val="28"/>
                <w:szCs w:val="28"/>
                <w:highlight w:val="none"/>
              </w:rPr>
              <w:t>基于表型组学的旱粮作物抗旱育种辅助系统研发</w:t>
            </w:r>
          </w:p>
        </w:tc>
      </w:tr>
      <w:tr w14:paraId="399BE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000000" w:sz="4" w:space="0"/>
            </w:tcBorders>
            <w:noWrap/>
            <w:vAlign w:val="center"/>
          </w:tcPr>
          <w:p w14:paraId="32F180B5">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kern w:val="0"/>
                <w:sz w:val="28"/>
                <w:szCs w:val="28"/>
                <w:highlight w:val="none"/>
                <w:u w:val="none"/>
                <w:lang w:val="en-US" w:eastAsia="zh-CN" w:bidi="ar"/>
              </w:rPr>
              <w:t>5</w:t>
            </w:r>
          </w:p>
        </w:tc>
        <w:tc>
          <w:tcPr>
            <w:tcW w:w="1836" w:type="dxa"/>
            <w:vMerge w:val="continue"/>
            <w:tcBorders>
              <w:left w:val="single" w:color="000000" w:sz="4" w:space="0"/>
              <w:right w:val="single" w:color="000000" w:sz="4" w:space="0"/>
            </w:tcBorders>
            <w:noWrap/>
            <w:vAlign w:val="center"/>
          </w:tcPr>
          <w:p w14:paraId="24A22391">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000000" w:sz="4" w:space="0"/>
              <w:bottom w:val="single" w:color="000000" w:sz="4" w:space="0"/>
              <w:right w:val="single" w:color="000000" w:sz="4" w:space="0"/>
            </w:tcBorders>
            <w:noWrap/>
            <w:vAlign w:val="center"/>
          </w:tcPr>
          <w:p w14:paraId="3B251DB4">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color w:val="auto"/>
                <w:kern w:val="0"/>
                <w:sz w:val="28"/>
                <w:szCs w:val="28"/>
                <w:highlight w:val="none"/>
              </w:rPr>
              <w:t>营养功能型短生育期高产油菜新品种选育与应用</w:t>
            </w:r>
          </w:p>
        </w:tc>
      </w:tr>
      <w:tr w14:paraId="67B56F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000000" w:sz="4" w:space="0"/>
            </w:tcBorders>
            <w:noWrap/>
            <w:vAlign w:val="center"/>
          </w:tcPr>
          <w:p w14:paraId="6AEBE006">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kern w:val="0"/>
                <w:sz w:val="28"/>
                <w:szCs w:val="28"/>
                <w:highlight w:val="none"/>
                <w:u w:val="none"/>
                <w:lang w:val="en-US" w:eastAsia="zh-CN" w:bidi="ar"/>
              </w:rPr>
              <w:t>6</w:t>
            </w:r>
          </w:p>
        </w:tc>
        <w:tc>
          <w:tcPr>
            <w:tcW w:w="1836" w:type="dxa"/>
            <w:vMerge w:val="continue"/>
            <w:tcBorders>
              <w:left w:val="single" w:color="000000" w:sz="4" w:space="0"/>
              <w:right w:val="single" w:color="000000" w:sz="4" w:space="0"/>
            </w:tcBorders>
            <w:noWrap/>
            <w:vAlign w:val="center"/>
          </w:tcPr>
          <w:p w14:paraId="1186D3B3">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000000" w:sz="4" w:space="0"/>
              <w:bottom w:val="single" w:color="000000" w:sz="4" w:space="0"/>
              <w:right w:val="single" w:color="000000" w:sz="4" w:space="0"/>
            </w:tcBorders>
            <w:noWrap/>
            <w:vAlign w:val="center"/>
          </w:tcPr>
          <w:p w14:paraId="7D32EAD1">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color w:val="auto"/>
                <w:kern w:val="0"/>
                <w:sz w:val="28"/>
                <w:szCs w:val="28"/>
                <w:highlight w:val="none"/>
              </w:rPr>
              <w:t>高产耐湿宜机收芝麻新品种选育与应用</w:t>
            </w:r>
          </w:p>
        </w:tc>
      </w:tr>
      <w:tr w14:paraId="28E13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000000" w:sz="4" w:space="0"/>
            </w:tcBorders>
            <w:noWrap/>
            <w:vAlign w:val="center"/>
          </w:tcPr>
          <w:p w14:paraId="373775BE">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kern w:val="0"/>
                <w:sz w:val="28"/>
                <w:szCs w:val="28"/>
                <w:highlight w:val="none"/>
                <w:u w:val="none"/>
                <w:lang w:val="en-US" w:eastAsia="zh-CN" w:bidi="ar"/>
              </w:rPr>
              <w:t>7</w:t>
            </w:r>
          </w:p>
        </w:tc>
        <w:tc>
          <w:tcPr>
            <w:tcW w:w="1836" w:type="dxa"/>
            <w:vMerge w:val="continue"/>
            <w:tcBorders>
              <w:left w:val="single" w:color="000000" w:sz="4" w:space="0"/>
              <w:right w:val="single" w:color="000000" w:sz="4" w:space="0"/>
            </w:tcBorders>
            <w:noWrap/>
            <w:vAlign w:val="center"/>
          </w:tcPr>
          <w:p w14:paraId="4BC86EAD">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000000" w:sz="4" w:space="0"/>
              <w:bottom w:val="single" w:color="000000" w:sz="4" w:space="0"/>
              <w:right w:val="single" w:color="000000" w:sz="4" w:space="0"/>
            </w:tcBorders>
            <w:noWrap/>
            <w:vAlign w:val="center"/>
          </w:tcPr>
          <w:p w14:paraId="72401FAD">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color w:val="auto"/>
                <w:kern w:val="0"/>
                <w:sz w:val="28"/>
                <w:szCs w:val="28"/>
                <w:highlight w:val="none"/>
              </w:rPr>
              <w:t>优质抗高温猕猴桃新品种选育与应用</w:t>
            </w:r>
          </w:p>
        </w:tc>
      </w:tr>
      <w:tr w14:paraId="615F9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000000" w:sz="4" w:space="0"/>
            </w:tcBorders>
            <w:noWrap/>
            <w:vAlign w:val="center"/>
          </w:tcPr>
          <w:p w14:paraId="6A1304A3">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kern w:val="0"/>
                <w:sz w:val="28"/>
                <w:szCs w:val="28"/>
                <w:highlight w:val="none"/>
                <w:u w:val="none"/>
                <w:lang w:val="en-US" w:eastAsia="zh-CN" w:bidi="ar"/>
              </w:rPr>
            </w:pPr>
            <w:r>
              <w:rPr>
                <w:rFonts w:hint="default" w:ascii="Times New Roman" w:hAnsi="Times New Roman" w:eastAsia="仿宋_GB2312" w:cs="Times New Roman"/>
                <w:i w:val="0"/>
                <w:color w:val="auto"/>
                <w:kern w:val="0"/>
                <w:sz w:val="28"/>
                <w:szCs w:val="28"/>
                <w:highlight w:val="none"/>
                <w:u w:val="none"/>
                <w:lang w:val="en-US" w:eastAsia="zh-CN" w:bidi="ar"/>
              </w:rPr>
              <w:t>8</w:t>
            </w:r>
          </w:p>
        </w:tc>
        <w:tc>
          <w:tcPr>
            <w:tcW w:w="1836" w:type="dxa"/>
            <w:vMerge w:val="continue"/>
            <w:tcBorders>
              <w:left w:val="single" w:color="000000" w:sz="4" w:space="0"/>
              <w:right w:val="single" w:color="000000" w:sz="4" w:space="0"/>
            </w:tcBorders>
            <w:noWrap/>
            <w:vAlign w:val="center"/>
          </w:tcPr>
          <w:p w14:paraId="5800EB0E">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000000" w:sz="4" w:space="0"/>
              <w:bottom w:val="single" w:color="000000" w:sz="4" w:space="0"/>
              <w:right w:val="single" w:color="000000" w:sz="4" w:space="0"/>
            </w:tcBorders>
            <w:noWrap/>
            <w:vAlign w:val="center"/>
          </w:tcPr>
          <w:p w14:paraId="556EE170">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kern w:val="0"/>
                <w:sz w:val="28"/>
                <w:szCs w:val="28"/>
                <w:highlight w:val="none"/>
                <w:u w:val="none"/>
                <w:lang w:val="en-US" w:eastAsia="zh-CN" w:bidi="ar"/>
              </w:rPr>
            </w:pPr>
            <w:r>
              <w:rPr>
                <w:rFonts w:hint="default" w:ascii="Times New Roman" w:hAnsi="Times New Roman" w:eastAsia="仿宋_GB2312" w:cs="Times New Roman"/>
                <w:color w:val="auto"/>
                <w:sz w:val="28"/>
                <w:szCs w:val="28"/>
                <w:highlight w:val="none"/>
              </w:rPr>
              <w:t>早生耐寒高产优质茶树定向育种与示范应用</w:t>
            </w:r>
          </w:p>
        </w:tc>
      </w:tr>
      <w:tr w14:paraId="59187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000000" w:sz="4" w:space="0"/>
            </w:tcBorders>
            <w:noWrap/>
            <w:vAlign w:val="center"/>
          </w:tcPr>
          <w:p w14:paraId="430CED15">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kern w:val="0"/>
                <w:sz w:val="28"/>
                <w:szCs w:val="28"/>
                <w:highlight w:val="none"/>
                <w:u w:val="none"/>
                <w:lang w:val="en-US" w:eastAsia="zh-CN" w:bidi="ar"/>
              </w:rPr>
            </w:pPr>
            <w:r>
              <w:rPr>
                <w:rFonts w:hint="default" w:ascii="Times New Roman" w:hAnsi="Times New Roman" w:eastAsia="仿宋_GB2312" w:cs="Times New Roman"/>
                <w:i w:val="0"/>
                <w:color w:val="auto"/>
                <w:kern w:val="0"/>
                <w:sz w:val="28"/>
                <w:szCs w:val="28"/>
                <w:highlight w:val="none"/>
                <w:u w:val="none"/>
                <w:lang w:val="en-US" w:eastAsia="zh-CN" w:bidi="ar"/>
              </w:rPr>
              <w:t>9</w:t>
            </w:r>
          </w:p>
        </w:tc>
        <w:tc>
          <w:tcPr>
            <w:tcW w:w="1836" w:type="dxa"/>
            <w:vMerge w:val="continue"/>
            <w:tcBorders>
              <w:left w:val="single" w:color="000000" w:sz="4" w:space="0"/>
              <w:right w:val="single" w:color="000000" w:sz="4" w:space="0"/>
            </w:tcBorders>
            <w:noWrap/>
            <w:vAlign w:val="center"/>
          </w:tcPr>
          <w:p w14:paraId="56AE76B4">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000000" w:sz="4" w:space="0"/>
              <w:bottom w:val="single" w:color="000000" w:sz="4" w:space="0"/>
              <w:right w:val="single" w:color="000000" w:sz="4" w:space="0"/>
            </w:tcBorders>
            <w:noWrap/>
            <w:vAlign w:val="center"/>
          </w:tcPr>
          <w:p w14:paraId="55261938">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kern w:val="0"/>
                <w:sz w:val="28"/>
                <w:szCs w:val="28"/>
                <w:highlight w:val="none"/>
                <w:u w:val="none"/>
                <w:lang w:val="en-US" w:eastAsia="zh-CN" w:bidi="ar"/>
              </w:rPr>
            </w:pPr>
            <w:r>
              <w:rPr>
                <w:rFonts w:hint="default" w:ascii="Times New Roman" w:hAnsi="Times New Roman" w:eastAsia="仿宋_GB2312" w:cs="Times New Roman"/>
                <w:color w:val="auto"/>
                <w:kern w:val="0"/>
                <w:sz w:val="28"/>
                <w:szCs w:val="28"/>
                <w:highlight w:val="none"/>
              </w:rPr>
              <w:t>植物源农药高效合成技术研究及应用</w:t>
            </w:r>
          </w:p>
        </w:tc>
      </w:tr>
      <w:tr w14:paraId="28E23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000000" w:sz="4" w:space="0"/>
            </w:tcBorders>
            <w:noWrap/>
            <w:vAlign w:val="center"/>
          </w:tcPr>
          <w:p w14:paraId="2D1F8B18">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kern w:val="0"/>
                <w:sz w:val="28"/>
                <w:szCs w:val="28"/>
                <w:highlight w:val="none"/>
                <w:u w:val="none"/>
                <w:lang w:val="en-US" w:eastAsia="zh-CN" w:bidi="ar"/>
              </w:rPr>
            </w:pPr>
            <w:r>
              <w:rPr>
                <w:rFonts w:hint="default" w:ascii="Times New Roman" w:hAnsi="Times New Roman" w:eastAsia="仿宋_GB2312" w:cs="Times New Roman"/>
                <w:i w:val="0"/>
                <w:color w:val="auto"/>
                <w:kern w:val="0"/>
                <w:sz w:val="28"/>
                <w:szCs w:val="28"/>
                <w:highlight w:val="none"/>
                <w:u w:val="none"/>
                <w:lang w:val="en-US" w:eastAsia="zh-CN" w:bidi="ar"/>
              </w:rPr>
              <w:t>10</w:t>
            </w:r>
          </w:p>
        </w:tc>
        <w:tc>
          <w:tcPr>
            <w:tcW w:w="1836" w:type="dxa"/>
            <w:vMerge w:val="continue"/>
            <w:tcBorders>
              <w:left w:val="single" w:color="000000" w:sz="4" w:space="0"/>
              <w:bottom w:val="single" w:color="auto" w:sz="4" w:space="0"/>
              <w:right w:val="single" w:color="000000" w:sz="4" w:space="0"/>
            </w:tcBorders>
            <w:noWrap/>
            <w:vAlign w:val="center"/>
          </w:tcPr>
          <w:p w14:paraId="45373693">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000000" w:sz="4" w:space="0"/>
              <w:bottom w:val="single" w:color="000000" w:sz="4" w:space="0"/>
              <w:right w:val="single" w:color="000000" w:sz="4" w:space="0"/>
            </w:tcBorders>
            <w:noWrap/>
            <w:vAlign w:val="center"/>
          </w:tcPr>
          <w:p w14:paraId="27188EE5">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kern w:val="0"/>
                <w:sz w:val="28"/>
                <w:szCs w:val="28"/>
                <w:highlight w:val="none"/>
                <w:u w:val="none"/>
                <w:lang w:val="en-US" w:eastAsia="zh-CN" w:bidi="ar"/>
              </w:rPr>
            </w:pPr>
            <w:r>
              <w:rPr>
                <w:rFonts w:hint="default" w:ascii="Times New Roman" w:hAnsi="Times New Roman" w:eastAsia="仿宋_GB2312" w:cs="Times New Roman"/>
                <w:color w:val="auto"/>
                <w:kern w:val="0"/>
                <w:sz w:val="28"/>
                <w:szCs w:val="28"/>
                <w:highlight w:val="none"/>
              </w:rPr>
              <w:t>稻田福寿螺绿色防控新产品创制与示范应用</w:t>
            </w:r>
          </w:p>
        </w:tc>
      </w:tr>
      <w:tr w14:paraId="63754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auto" w:sz="4" w:space="0"/>
            </w:tcBorders>
            <w:noWrap/>
            <w:vAlign w:val="center"/>
          </w:tcPr>
          <w:p w14:paraId="184F2501">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kern w:val="0"/>
                <w:sz w:val="28"/>
                <w:szCs w:val="28"/>
                <w:highlight w:val="none"/>
                <w:u w:val="none"/>
                <w:lang w:val="en-US" w:eastAsia="zh-CN" w:bidi="ar"/>
              </w:rPr>
              <w:t>11</w:t>
            </w:r>
          </w:p>
        </w:tc>
        <w:tc>
          <w:tcPr>
            <w:tcW w:w="1836" w:type="dxa"/>
            <w:vMerge w:val="restart"/>
            <w:tcBorders>
              <w:top w:val="single" w:color="auto" w:sz="4" w:space="0"/>
              <w:left w:val="single" w:color="auto" w:sz="4" w:space="0"/>
              <w:bottom w:val="single" w:color="auto" w:sz="4" w:space="0"/>
              <w:right w:val="single" w:color="auto" w:sz="4" w:space="0"/>
            </w:tcBorders>
            <w:noWrap/>
            <w:vAlign w:val="center"/>
          </w:tcPr>
          <w:p w14:paraId="3EE18F6E">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kern w:val="0"/>
                <w:sz w:val="28"/>
                <w:szCs w:val="28"/>
                <w:highlight w:val="none"/>
                <w:u w:val="none"/>
                <w:lang w:val="en-US" w:eastAsia="zh-CN" w:bidi="ar"/>
              </w:rPr>
              <w:t>养殖业</w:t>
            </w:r>
          </w:p>
        </w:tc>
        <w:tc>
          <w:tcPr>
            <w:tcW w:w="5668" w:type="dxa"/>
            <w:tcBorders>
              <w:top w:val="single" w:color="000000" w:sz="4" w:space="0"/>
              <w:left w:val="single" w:color="auto" w:sz="4" w:space="0"/>
              <w:bottom w:val="single" w:color="000000" w:sz="4" w:space="0"/>
              <w:right w:val="single" w:color="000000" w:sz="4" w:space="0"/>
            </w:tcBorders>
            <w:noWrap/>
            <w:vAlign w:val="center"/>
          </w:tcPr>
          <w:p w14:paraId="712053CA">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sz w:val="28"/>
                <w:szCs w:val="28"/>
                <w:highlight w:val="none"/>
                <w:u w:val="none"/>
              </w:rPr>
              <w:t>集约化水产养殖尾水生物协同净化技术研发与应用</w:t>
            </w:r>
          </w:p>
        </w:tc>
      </w:tr>
      <w:tr w14:paraId="486C8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auto" w:sz="4" w:space="0"/>
            </w:tcBorders>
            <w:noWrap/>
            <w:vAlign w:val="center"/>
          </w:tcPr>
          <w:p w14:paraId="70849A15">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kern w:val="0"/>
                <w:sz w:val="28"/>
                <w:szCs w:val="28"/>
                <w:highlight w:val="none"/>
                <w:u w:val="none"/>
                <w:lang w:val="en-US" w:eastAsia="zh-CN" w:bidi="ar"/>
              </w:rPr>
              <w:t>12</w:t>
            </w:r>
          </w:p>
        </w:tc>
        <w:tc>
          <w:tcPr>
            <w:tcW w:w="1836" w:type="dxa"/>
            <w:vMerge w:val="continue"/>
            <w:tcBorders>
              <w:top w:val="single" w:color="auto" w:sz="4" w:space="0"/>
              <w:left w:val="single" w:color="auto" w:sz="4" w:space="0"/>
              <w:bottom w:val="single" w:color="auto" w:sz="4" w:space="0"/>
              <w:right w:val="single" w:color="auto" w:sz="4" w:space="0"/>
            </w:tcBorders>
            <w:noWrap/>
            <w:vAlign w:val="center"/>
          </w:tcPr>
          <w:p w14:paraId="752B979B">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auto" w:sz="4" w:space="0"/>
              <w:bottom w:val="single" w:color="000000" w:sz="4" w:space="0"/>
              <w:right w:val="single" w:color="000000" w:sz="4" w:space="0"/>
            </w:tcBorders>
            <w:noWrap/>
            <w:vAlign w:val="center"/>
          </w:tcPr>
          <w:p w14:paraId="49013A1F">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sz w:val="28"/>
                <w:szCs w:val="28"/>
                <w:highlight w:val="none"/>
                <w:u w:val="none"/>
              </w:rPr>
              <w:t>黑斑蛙新种质创制与早繁技术研发</w:t>
            </w:r>
          </w:p>
        </w:tc>
      </w:tr>
      <w:tr w14:paraId="06E18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auto" w:sz="4" w:space="0"/>
            </w:tcBorders>
            <w:noWrap/>
            <w:vAlign w:val="center"/>
          </w:tcPr>
          <w:p w14:paraId="3DA7A3A4">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kern w:val="0"/>
                <w:sz w:val="28"/>
                <w:szCs w:val="28"/>
                <w:highlight w:val="none"/>
                <w:u w:val="none"/>
                <w:lang w:val="en-US" w:eastAsia="zh-CN" w:bidi="ar"/>
              </w:rPr>
              <w:t>13</w:t>
            </w:r>
          </w:p>
        </w:tc>
        <w:tc>
          <w:tcPr>
            <w:tcW w:w="1836" w:type="dxa"/>
            <w:vMerge w:val="continue"/>
            <w:tcBorders>
              <w:top w:val="single" w:color="auto" w:sz="4" w:space="0"/>
              <w:left w:val="single" w:color="auto" w:sz="4" w:space="0"/>
              <w:bottom w:val="single" w:color="auto" w:sz="4" w:space="0"/>
              <w:right w:val="single" w:color="auto" w:sz="4" w:space="0"/>
            </w:tcBorders>
            <w:noWrap/>
            <w:vAlign w:val="center"/>
          </w:tcPr>
          <w:p w14:paraId="26982034">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auto" w:sz="4" w:space="0"/>
              <w:bottom w:val="single" w:color="000000" w:sz="4" w:space="0"/>
              <w:right w:val="single" w:color="000000" w:sz="4" w:space="0"/>
            </w:tcBorders>
            <w:noWrap/>
            <w:vAlign w:val="center"/>
          </w:tcPr>
          <w:p w14:paraId="348A02A0">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sz w:val="28"/>
                <w:szCs w:val="28"/>
                <w:highlight w:val="none"/>
                <w:u w:val="none"/>
              </w:rPr>
              <w:t>昆虫蛋白源抗菌活性肽制备产品开发及应用</w:t>
            </w:r>
          </w:p>
        </w:tc>
      </w:tr>
      <w:tr w14:paraId="777FD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auto" w:sz="4" w:space="0"/>
            </w:tcBorders>
            <w:noWrap/>
            <w:vAlign w:val="center"/>
          </w:tcPr>
          <w:p w14:paraId="1FF811E1">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kern w:val="0"/>
                <w:sz w:val="28"/>
                <w:szCs w:val="28"/>
                <w:highlight w:val="none"/>
                <w:u w:val="none"/>
                <w:lang w:val="en-US" w:eastAsia="zh-CN" w:bidi="ar"/>
              </w:rPr>
              <w:t>14</w:t>
            </w:r>
          </w:p>
        </w:tc>
        <w:tc>
          <w:tcPr>
            <w:tcW w:w="1836" w:type="dxa"/>
            <w:vMerge w:val="continue"/>
            <w:tcBorders>
              <w:top w:val="single" w:color="auto" w:sz="4" w:space="0"/>
              <w:left w:val="single" w:color="auto" w:sz="4" w:space="0"/>
              <w:bottom w:val="single" w:color="auto" w:sz="4" w:space="0"/>
              <w:right w:val="single" w:color="auto" w:sz="4" w:space="0"/>
            </w:tcBorders>
            <w:noWrap/>
            <w:vAlign w:val="center"/>
          </w:tcPr>
          <w:p w14:paraId="6469EE28">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auto" w:sz="4" w:space="0"/>
              <w:bottom w:val="single" w:color="000000" w:sz="4" w:space="0"/>
              <w:right w:val="single" w:color="000000" w:sz="4" w:space="0"/>
            </w:tcBorders>
            <w:noWrap/>
            <w:vAlign w:val="center"/>
          </w:tcPr>
          <w:p w14:paraId="0A3F80C3">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sz w:val="28"/>
                <w:szCs w:val="28"/>
                <w:highlight w:val="none"/>
                <w:u w:val="none"/>
              </w:rPr>
              <w:t>黄鳝减抗达标养殖技术研发与应用</w:t>
            </w:r>
          </w:p>
        </w:tc>
      </w:tr>
      <w:tr w14:paraId="5AACDB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auto" w:sz="4" w:space="0"/>
            </w:tcBorders>
            <w:noWrap/>
            <w:vAlign w:val="center"/>
          </w:tcPr>
          <w:p w14:paraId="584F7CCE">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kern w:val="0"/>
                <w:sz w:val="28"/>
                <w:szCs w:val="28"/>
                <w:highlight w:val="none"/>
                <w:u w:val="none"/>
                <w:lang w:val="en-US" w:eastAsia="zh-CN" w:bidi="ar"/>
              </w:rPr>
              <w:t>15</w:t>
            </w:r>
          </w:p>
        </w:tc>
        <w:tc>
          <w:tcPr>
            <w:tcW w:w="1836" w:type="dxa"/>
            <w:vMerge w:val="continue"/>
            <w:tcBorders>
              <w:top w:val="single" w:color="auto" w:sz="4" w:space="0"/>
              <w:left w:val="single" w:color="auto" w:sz="4" w:space="0"/>
              <w:bottom w:val="single" w:color="auto" w:sz="4" w:space="0"/>
              <w:right w:val="single" w:color="auto" w:sz="4" w:space="0"/>
            </w:tcBorders>
            <w:noWrap/>
            <w:vAlign w:val="center"/>
          </w:tcPr>
          <w:p w14:paraId="7C3E83AD">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auto" w:sz="4" w:space="0"/>
              <w:bottom w:val="single" w:color="000000" w:sz="4" w:space="0"/>
              <w:right w:val="single" w:color="000000" w:sz="4" w:space="0"/>
            </w:tcBorders>
            <w:noWrap/>
            <w:vAlign w:val="center"/>
          </w:tcPr>
          <w:p w14:paraId="304A16E8">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color w:val="auto"/>
                <w:kern w:val="0"/>
                <w:sz w:val="28"/>
                <w:szCs w:val="28"/>
                <w:highlight w:val="none"/>
              </w:rPr>
              <w:t>鸡场集约化健康养殖数智化技术研究及示范</w:t>
            </w:r>
          </w:p>
        </w:tc>
      </w:tr>
      <w:tr w14:paraId="5AB1F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auto" w:sz="4" w:space="0"/>
            </w:tcBorders>
            <w:noWrap/>
            <w:vAlign w:val="center"/>
          </w:tcPr>
          <w:p w14:paraId="776D2ED1">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kern w:val="0"/>
                <w:sz w:val="28"/>
                <w:szCs w:val="28"/>
                <w:highlight w:val="none"/>
                <w:u w:val="none"/>
                <w:lang w:val="en-US" w:eastAsia="zh-CN" w:bidi="ar"/>
              </w:rPr>
              <w:t>16</w:t>
            </w:r>
          </w:p>
        </w:tc>
        <w:tc>
          <w:tcPr>
            <w:tcW w:w="1836" w:type="dxa"/>
            <w:vMerge w:val="continue"/>
            <w:tcBorders>
              <w:top w:val="single" w:color="auto" w:sz="4" w:space="0"/>
              <w:left w:val="single" w:color="auto" w:sz="4" w:space="0"/>
              <w:bottom w:val="single" w:color="auto" w:sz="4" w:space="0"/>
              <w:right w:val="single" w:color="auto" w:sz="4" w:space="0"/>
            </w:tcBorders>
            <w:noWrap/>
            <w:vAlign w:val="center"/>
          </w:tcPr>
          <w:p w14:paraId="120AFB6B">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auto" w:sz="4" w:space="0"/>
              <w:bottom w:val="single" w:color="000000" w:sz="4" w:space="0"/>
              <w:right w:val="single" w:color="000000" w:sz="4" w:space="0"/>
            </w:tcBorders>
            <w:noWrap/>
            <w:vAlign w:val="center"/>
          </w:tcPr>
          <w:p w14:paraId="05253716">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sz w:val="28"/>
                <w:szCs w:val="28"/>
                <w:highlight w:val="none"/>
                <w:u w:val="none"/>
              </w:rPr>
              <w:t>江西地方黄牛优良肉质基因挖掘与配套技术应用</w:t>
            </w:r>
          </w:p>
        </w:tc>
      </w:tr>
      <w:tr w14:paraId="20A34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auto" w:sz="4" w:space="0"/>
            </w:tcBorders>
            <w:noWrap/>
            <w:vAlign w:val="center"/>
          </w:tcPr>
          <w:p w14:paraId="7420DBFE">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kern w:val="0"/>
                <w:sz w:val="28"/>
                <w:szCs w:val="28"/>
                <w:highlight w:val="none"/>
                <w:u w:val="none"/>
                <w:lang w:val="en-US" w:eastAsia="zh-CN" w:bidi="ar"/>
              </w:rPr>
              <w:t>17</w:t>
            </w:r>
          </w:p>
        </w:tc>
        <w:tc>
          <w:tcPr>
            <w:tcW w:w="1836" w:type="dxa"/>
            <w:vMerge w:val="continue"/>
            <w:tcBorders>
              <w:top w:val="single" w:color="auto" w:sz="4" w:space="0"/>
              <w:left w:val="single" w:color="auto" w:sz="4" w:space="0"/>
              <w:bottom w:val="single" w:color="auto" w:sz="4" w:space="0"/>
              <w:right w:val="single" w:color="auto" w:sz="4" w:space="0"/>
            </w:tcBorders>
            <w:noWrap/>
            <w:vAlign w:val="center"/>
          </w:tcPr>
          <w:p w14:paraId="0D406F09">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auto" w:sz="4" w:space="0"/>
              <w:bottom w:val="single" w:color="000000" w:sz="4" w:space="0"/>
              <w:right w:val="single" w:color="000000" w:sz="4" w:space="0"/>
            </w:tcBorders>
            <w:noWrap/>
            <w:vAlign w:val="center"/>
          </w:tcPr>
          <w:p w14:paraId="1F4C515B">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sz w:val="28"/>
                <w:szCs w:val="28"/>
                <w:highlight w:val="none"/>
                <w:u w:val="none"/>
              </w:rPr>
              <w:t>水稻秸秆在肉牛养殖中安全高效利用技术与集成示范</w:t>
            </w:r>
          </w:p>
        </w:tc>
      </w:tr>
      <w:tr w14:paraId="25389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17" w:hRule="atLeast"/>
          <w:jc w:val="center"/>
        </w:trPr>
        <w:tc>
          <w:tcPr>
            <w:tcW w:w="1154" w:type="dxa"/>
            <w:tcBorders>
              <w:top w:val="single" w:color="000000" w:sz="4" w:space="0"/>
              <w:left w:val="single" w:color="000000" w:sz="4" w:space="0"/>
              <w:bottom w:val="single" w:color="000000" w:sz="4" w:space="0"/>
              <w:right w:val="single" w:color="auto" w:sz="4" w:space="0"/>
            </w:tcBorders>
            <w:noWrap/>
            <w:vAlign w:val="center"/>
          </w:tcPr>
          <w:p w14:paraId="34BA7E95">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kern w:val="0"/>
                <w:sz w:val="28"/>
                <w:szCs w:val="28"/>
                <w:highlight w:val="none"/>
                <w:u w:val="none"/>
                <w:lang w:val="en-US" w:eastAsia="zh-CN" w:bidi="ar"/>
              </w:rPr>
            </w:pPr>
            <w:r>
              <w:rPr>
                <w:rFonts w:hint="default" w:ascii="Times New Roman" w:hAnsi="Times New Roman" w:eastAsia="仿宋_GB2312" w:cs="Times New Roman"/>
                <w:i w:val="0"/>
                <w:color w:val="auto"/>
                <w:kern w:val="0"/>
                <w:sz w:val="28"/>
                <w:szCs w:val="28"/>
                <w:highlight w:val="none"/>
                <w:u w:val="none"/>
                <w:lang w:val="en-US" w:eastAsia="zh-CN" w:bidi="ar"/>
              </w:rPr>
              <w:t>18</w:t>
            </w:r>
          </w:p>
        </w:tc>
        <w:tc>
          <w:tcPr>
            <w:tcW w:w="1836" w:type="dxa"/>
            <w:vMerge w:val="continue"/>
            <w:tcBorders>
              <w:top w:val="single" w:color="auto" w:sz="4" w:space="0"/>
              <w:left w:val="single" w:color="auto" w:sz="4" w:space="0"/>
              <w:bottom w:val="single" w:color="auto" w:sz="4" w:space="0"/>
              <w:right w:val="single" w:color="auto" w:sz="4" w:space="0"/>
            </w:tcBorders>
            <w:noWrap/>
            <w:vAlign w:val="center"/>
          </w:tcPr>
          <w:p w14:paraId="444049E1">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auto" w:sz="4" w:space="0"/>
              <w:bottom w:val="single" w:color="000000" w:sz="4" w:space="0"/>
              <w:right w:val="single" w:color="000000" w:sz="4" w:space="0"/>
            </w:tcBorders>
            <w:noWrap/>
            <w:vAlign w:val="center"/>
          </w:tcPr>
          <w:p w14:paraId="4A6A698D">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sz w:val="28"/>
                <w:szCs w:val="28"/>
                <w:highlight w:val="none"/>
                <w:u w:val="none"/>
              </w:rPr>
              <w:t>优质高产抗逆蛋鸭新品系选育</w:t>
            </w:r>
          </w:p>
        </w:tc>
      </w:tr>
      <w:tr w14:paraId="6A4AD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auto" w:sz="4" w:space="0"/>
            </w:tcBorders>
            <w:noWrap/>
            <w:vAlign w:val="center"/>
          </w:tcPr>
          <w:p w14:paraId="1B43613F">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kern w:val="0"/>
                <w:sz w:val="28"/>
                <w:szCs w:val="28"/>
                <w:highlight w:val="none"/>
                <w:u w:val="none"/>
                <w:lang w:val="en-US" w:eastAsia="zh-CN" w:bidi="ar"/>
              </w:rPr>
            </w:pPr>
            <w:r>
              <w:rPr>
                <w:rFonts w:hint="default" w:ascii="Times New Roman" w:hAnsi="Times New Roman" w:eastAsia="仿宋_GB2312" w:cs="Times New Roman"/>
                <w:i w:val="0"/>
                <w:color w:val="auto"/>
                <w:kern w:val="0"/>
                <w:sz w:val="28"/>
                <w:szCs w:val="28"/>
                <w:highlight w:val="none"/>
                <w:u w:val="none"/>
                <w:lang w:val="en-US" w:eastAsia="zh-CN" w:bidi="ar"/>
              </w:rPr>
              <w:t>19</w:t>
            </w:r>
          </w:p>
        </w:tc>
        <w:tc>
          <w:tcPr>
            <w:tcW w:w="1836" w:type="dxa"/>
            <w:vMerge w:val="continue"/>
            <w:tcBorders>
              <w:top w:val="single" w:color="auto" w:sz="4" w:space="0"/>
              <w:left w:val="single" w:color="auto" w:sz="4" w:space="0"/>
              <w:bottom w:val="single" w:color="auto" w:sz="4" w:space="0"/>
              <w:right w:val="single" w:color="auto" w:sz="4" w:space="0"/>
            </w:tcBorders>
            <w:noWrap/>
            <w:vAlign w:val="center"/>
          </w:tcPr>
          <w:p w14:paraId="2653EFCC">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auto" w:sz="4" w:space="0"/>
              <w:bottom w:val="single" w:color="000000" w:sz="4" w:space="0"/>
              <w:right w:val="single" w:color="000000" w:sz="4" w:space="0"/>
            </w:tcBorders>
            <w:noWrap/>
            <w:vAlign w:val="center"/>
          </w:tcPr>
          <w:p w14:paraId="39881191">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color w:val="auto"/>
                <w:kern w:val="0"/>
                <w:sz w:val="28"/>
                <w:szCs w:val="28"/>
                <w:highlight w:val="none"/>
              </w:rPr>
              <w:t>猪新发疫病防控技术与应用示范</w:t>
            </w:r>
          </w:p>
        </w:tc>
      </w:tr>
      <w:tr w14:paraId="2ECF0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000000" w:sz="4" w:space="0"/>
            </w:tcBorders>
            <w:noWrap/>
            <w:vAlign w:val="center"/>
          </w:tcPr>
          <w:p w14:paraId="6BE34388">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lang w:val="en-US"/>
              </w:rPr>
            </w:pPr>
            <w:r>
              <w:rPr>
                <w:rFonts w:hint="default" w:ascii="Times New Roman" w:hAnsi="Times New Roman" w:eastAsia="仿宋_GB2312" w:cs="Times New Roman"/>
                <w:i w:val="0"/>
                <w:color w:val="auto"/>
                <w:kern w:val="0"/>
                <w:sz w:val="28"/>
                <w:szCs w:val="28"/>
                <w:highlight w:val="none"/>
                <w:u w:val="none"/>
                <w:lang w:val="en-US" w:eastAsia="zh-CN" w:bidi="ar"/>
              </w:rPr>
              <w:t>20</w:t>
            </w:r>
          </w:p>
        </w:tc>
        <w:tc>
          <w:tcPr>
            <w:tcW w:w="1836" w:type="dxa"/>
            <w:vMerge w:val="restart"/>
            <w:tcBorders>
              <w:top w:val="single" w:color="auto" w:sz="4" w:space="0"/>
              <w:left w:val="single" w:color="000000" w:sz="4" w:space="0"/>
              <w:bottom w:val="single" w:color="auto" w:sz="4" w:space="0"/>
              <w:right w:val="single" w:color="000000" w:sz="4" w:space="0"/>
            </w:tcBorders>
            <w:noWrap/>
            <w:vAlign w:val="center"/>
          </w:tcPr>
          <w:p w14:paraId="3EB589CE">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kern w:val="0"/>
                <w:sz w:val="28"/>
                <w:szCs w:val="28"/>
                <w:highlight w:val="none"/>
                <w:u w:val="none"/>
                <w:lang w:val="en-US" w:eastAsia="zh-CN" w:bidi="ar"/>
              </w:rPr>
              <w:t>食品</w:t>
            </w:r>
          </w:p>
        </w:tc>
        <w:tc>
          <w:tcPr>
            <w:tcW w:w="5668" w:type="dxa"/>
            <w:tcBorders>
              <w:top w:val="single" w:color="000000" w:sz="4" w:space="0"/>
              <w:left w:val="single" w:color="000000" w:sz="4" w:space="0"/>
              <w:bottom w:val="single" w:color="000000" w:sz="4" w:space="0"/>
              <w:right w:val="single" w:color="000000" w:sz="4" w:space="0"/>
            </w:tcBorders>
            <w:noWrap/>
            <w:vAlign w:val="center"/>
          </w:tcPr>
          <w:p w14:paraId="2E2D4022">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sz w:val="28"/>
                <w:szCs w:val="28"/>
                <w:highlight w:val="none"/>
                <w:u w:val="none"/>
              </w:rPr>
              <w:t>食品小分子活性物质生物合成技术与规模化应用</w:t>
            </w:r>
          </w:p>
        </w:tc>
      </w:tr>
      <w:tr w14:paraId="0C460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000000" w:sz="4" w:space="0"/>
            </w:tcBorders>
            <w:noWrap/>
            <w:vAlign w:val="center"/>
          </w:tcPr>
          <w:p w14:paraId="6B0C2416">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lang w:val="en-US"/>
              </w:rPr>
            </w:pPr>
            <w:r>
              <w:rPr>
                <w:rFonts w:hint="default" w:ascii="Times New Roman" w:hAnsi="Times New Roman" w:eastAsia="仿宋_GB2312" w:cs="Times New Roman"/>
                <w:i w:val="0"/>
                <w:color w:val="auto"/>
                <w:kern w:val="0"/>
                <w:sz w:val="28"/>
                <w:szCs w:val="28"/>
                <w:highlight w:val="none"/>
                <w:u w:val="none"/>
                <w:lang w:val="en-US" w:eastAsia="zh-CN" w:bidi="ar"/>
              </w:rPr>
              <w:t>21</w:t>
            </w:r>
          </w:p>
        </w:tc>
        <w:tc>
          <w:tcPr>
            <w:tcW w:w="1836" w:type="dxa"/>
            <w:vMerge w:val="continue"/>
            <w:tcBorders>
              <w:top w:val="single" w:color="auto" w:sz="4" w:space="0"/>
              <w:left w:val="single" w:color="000000" w:sz="4" w:space="0"/>
              <w:bottom w:val="single" w:color="auto" w:sz="4" w:space="0"/>
              <w:right w:val="single" w:color="000000" w:sz="4" w:space="0"/>
            </w:tcBorders>
            <w:noWrap/>
            <w:vAlign w:val="center"/>
          </w:tcPr>
          <w:p w14:paraId="1288B017">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000000" w:sz="4" w:space="0"/>
              <w:bottom w:val="single" w:color="000000" w:sz="4" w:space="0"/>
              <w:right w:val="single" w:color="000000" w:sz="4" w:space="0"/>
            </w:tcBorders>
            <w:noWrap/>
            <w:vAlign w:val="center"/>
          </w:tcPr>
          <w:p w14:paraId="44E1BA82">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color w:val="auto"/>
                <w:sz w:val="28"/>
                <w:szCs w:val="28"/>
                <w:highlight w:val="none"/>
              </w:rPr>
              <w:t>肠源性有害代谢物调控技术在传统糕点中工程化应用</w:t>
            </w:r>
          </w:p>
        </w:tc>
      </w:tr>
      <w:tr w14:paraId="71D03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000000" w:sz="4" w:space="0"/>
            </w:tcBorders>
            <w:noWrap/>
            <w:vAlign w:val="center"/>
          </w:tcPr>
          <w:p w14:paraId="77F7E644">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lang w:val="en-US"/>
              </w:rPr>
            </w:pPr>
            <w:r>
              <w:rPr>
                <w:rFonts w:hint="default" w:ascii="Times New Roman" w:hAnsi="Times New Roman" w:eastAsia="仿宋_GB2312" w:cs="Times New Roman"/>
                <w:i w:val="0"/>
                <w:color w:val="auto"/>
                <w:kern w:val="0"/>
                <w:sz w:val="28"/>
                <w:szCs w:val="28"/>
                <w:highlight w:val="none"/>
                <w:u w:val="none"/>
                <w:lang w:val="en-US" w:eastAsia="zh-CN" w:bidi="ar"/>
              </w:rPr>
              <w:t>22</w:t>
            </w:r>
          </w:p>
        </w:tc>
        <w:tc>
          <w:tcPr>
            <w:tcW w:w="1836" w:type="dxa"/>
            <w:vMerge w:val="continue"/>
            <w:tcBorders>
              <w:top w:val="single" w:color="auto" w:sz="4" w:space="0"/>
              <w:left w:val="single" w:color="000000" w:sz="4" w:space="0"/>
              <w:bottom w:val="single" w:color="auto" w:sz="4" w:space="0"/>
              <w:right w:val="single" w:color="000000" w:sz="4" w:space="0"/>
            </w:tcBorders>
            <w:noWrap/>
            <w:vAlign w:val="center"/>
          </w:tcPr>
          <w:p w14:paraId="74726BA6">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000000" w:sz="4" w:space="0"/>
              <w:bottom w:val="single" w:color="000000" w:sz="4" w:space="0"/>
              <w:right w:val="single" w:color="000000" w:sz="4" w:space="0"/>
            </w:tcBorders>
            <w:noWrap/>
            <w:vAlign w:val="center"/>
          </w:tcPr>
          <w:p w14:paraId="25E6F054">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sz w:val="28"/>
                <w:szCs w:val="28"/>
                <w:highlight w:val="none"/>
                <w:u w:val="none"/>
              </w:rPr>
              <w:t>脐橙果渣风味物质高效利用技术及产业化示范</w:t>
            </w:r>
          </w:p>
        </w:tc>
      </w:tr>
      <w:tr w14:paraId="2DA05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000000" w:sz="4" w:space="0"/>
            </w:tcBorders>
            <w:noWrap/>
            <w:vAlign w:val="center"/>
          </w:tcPr>
          <w:p w14:paraId="68EF5E3E">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lang w:val="en-US"/>
              </w:rPr>
            </w:pPr>
            <w:r>
              <w:rPr>
                <w:rFonts w:hint="default" w:ascii="Times New Roman" w:hAnsi="Times New Roman" w:eastAsia="仿宋_GB2312" w:cs="Times New Roman"/>
                <w:i w:val="0"/>
                <w:color w:val="auto"/>
                <w:kern w:val="0"/>
                <w:sz w:val="28"/>
                <w:szCs w:val="28"/>
                <w:highlight w:val="none"/>
                <w:u w:val="none"/>
                <w:lang w:val="en-US" w:eastAsia="zh-CN" w:bidi="ar"/>
              </w:rPr>
              <w:t>23</w:t>
            </w:r>
          </w:p>
        </w:tc>
        <w:tc>
          <w:tcPr>
            <w:tcW w:w="1836" w:type="dxa"/>
            <w:vMerge w:val="continue"/>
            <w:tcBorders>
              <w:top w:val="single" w:color="auto" w:sz="4" w:space="0"/>
              <w:left w:val="single" w:color="000000" w:sz="4" w:space="0"/>
              <w:bottom w:val="single" w:color="auto" w:sz="4" w:space="0"/>
              <w:right w:val="single" w:color="000000" w:sz="4" w:space="0"/>
            </w:tcBorders>
            <w:noWrap/>
            <w:vAlign w:val="center"/>
          </w:tcPr>
          <w:p w14:paraId="09BC74B0">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000000" w:sz="4" w:space="0"/>
              <w:bottom w:val="single" w:color="000000" w:sz="4" w:space="0"/>
              <w:right w:val="single" w:color="000000" w:sz="4" w:space="0"/>
            </w:tcBorders>
            <w:noWrap/>
            <w:vAlign w:val="center"/>
          </w:tcPr>
          <w:p w14:paraId="0DDDE794">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sz w:val="28"/>
                <w:szCs w:val="28"/>
                <w:highlight w:val="none"/>
                <w:u w:val="none"/>
              </w:rPr>
              <w:t>富含特色淀粉食物资源精深加工技术及应用示范</w:t>
            </w:r>
          </w:p>
        </w:tc>
      </w:tr>
      <w:tr w14:paraId="22B3F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000000" w:sz="4" w:space="0"/>
            </w:tcBorders>
            <w:noWrap/>
            <w:vAlign w:val="center"/>
          </w:tcPr>
          <w:p w14:paraId="552BD62F">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kern w:val="0"/>
                <w:sz w:val="28"/>
                <w:szCs w:val="28"/>
                <w:highlight w:val="none"/>
                <w:u w:val="none"/>
                <w:lang w:val="en-US" w:eastAsia="zh-CN" w:bidi="ar"/>
              </w:rPr>
            </w:pPr>
            <w:r>
              <w:rPr>
                <w:rFonts w:hint="default" w:ascii="Times New Roman" w:hAnsi="Times New Roman" w:eastAsia="仿宋_GB2312" w:cs="Times New Roman"/>
                <w:i w:val="0"/>
                <w:color w:val="auto"/>
                <w:kern w:val="0"/>
                <w:sz w:val="28"/>
                <w:szCs w:val="28"/>
                <w:highlight w:val="none"/>
                <w:u w:val="none"/>
                <w:lang w:val="en-US" w:eastAsia="zh-CN" w:bidi="ar"/>
              </w:rPr>
              <w:t>24</w:t>
            </w:r>
          </w:p>
        </w:tc>
        <w:tc>
          <w:tcPr>
            <w:tcW w:w="1836" w:type="dxa"/>
            <w:vMerge w:val="continue"/>
            <w:tcBorders>
              <w:top w:val="single" w:color="auto" w:sz="4" w:space="0"/>
              <w:left w:val="single" w:color="000000" w:sz="4" w:space="0"/>
              <w:bottom w:val="single" w:color="auto" w:sz="4" w:space="0"/>
              <w:right w:val="single" w:color="000000" w:sz="4" w:space="0"/>
            </w:tcBorders>
            <w:noWrap/>
            <w:vAlign w:val="center"/>
          </w:tcPr>
          <w:p w14:paraId="62116E9F">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000000" w:sz="4" w:space="0"/>
              <w:bottom w:val="single" w:color="000000" w:sz="4" w:space="0"/>
              <w:right w:val="single" w:color="000000" w:sz="4" w:space="0"/>
            </w:tcBorders>
            <w:noWrap/>
            <w:vAlign w:val="center"/>
          </w:tcPr>
          <w:p w14:paraId="358B2A1E">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sz w:val="28"/>
                <w:szCs w:val="28"/>
                <w:highlight w:val="none"/>
                <w:u w:val="none"/>
              </w:rPr>
              <w:t>泰和乌鸡药用功效研究及功能性产品创制</w:t>
            </w:r>
          </w:p>
        </w:tc>
      </w:tr>
      <w:tr w14:paraId="7C4AC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auto" w:sz="4" w:space="0"/>
            </w:tcBorders>
            <w:noWrap/>
            <w:vAlign w:val="center"/>
          </w:tcPr>
          <w:p w14:paraId="5F241514">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lang w:val="en-US"/>
              </w:rPr>
            </w:pPr>
            <w:r>
              <w:rPr>
                <w:rFonts w:hint="default" w:ascii="Times New Roman" w:hAnsi="Times New Roman" w:eastAsia="仿宋_GB2312" w:cs="Times New Roman"/>
                <w:i w:val="0"/>
                <w:color w:val="auto"/>
                <w:kern w:val="0"/>
                <w:sz w:val="28"/>
                <w:szCs w:val="28"/>
                <w:highlight w:val="none"/>
                <w:u w:val="none"/>
                <w:lang w:val="en-US" w:eastAsia="zh-CN" w:bidi="ar"/>
              </w:rPr>
              <w:t>25</w:t>
            </w:r>
          </w:p>
        </w:tc>
        <w:tc>
          <w:tcPr>
            <w:tcW w:w="1836" w:type="dxa"/>
            <w:vMerge w:val="restart"/>
            <w:tcBorders>
              <w:top w:val="single" w:color="auto" w:sz="4" w:space="0"/>
              <w:left w:val="single" w:color="auto" w:sz="4" w:space="0"/>
              <w:bottom w:val="single" w:color="auto" w:sz="4" w:space="0"/>
              <w:right w:val="single" w:color="auto" w:sz="4" w:space="0"/>
            </w:tcBorders>
            <w:noWrap/>
            <w:vAlign w:val="center"/>
          </w:tcPr>
          <w:p w14:paraId="3821E701">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kern w:val="0"/>
                <w:sz w:val="28"/>
                <w:szCs w:val="28"/>
                <w:highlight w:val="none"/>
                <w:u w:val="none"/>
                <w:lang w:val="en-US" w:eastAsia="zh-CN" w:bidi="ar"/>
              </w:rPr>
              <w:t>林业</w:t>
            </w:r>
          </w:p>
        </w:tc>
        <w:tc>
          <w:tcPr>
            <w:tcW w:w="5668" w:type="dxa"/>
            <w:tcBorders>
              <w:top w:val="single" w:color="000000" w:sz="4" w:space="0"/>
              <w:left w:val="single" w:color="auto" w:sz="4" w:space="0"/>
              <w:bottom w:val="single" w:color="000000" w:sz="4" w:space="0"/>
              <w:right w:val="single" w:color="000000" w:sz="4" w:space="0"/>
            </w:tcBorders>
            <w:noWrap/>
            <w:vAlign w:val="center"/>
          </w:tcPr>
          <w:p w14:paraId="44EDDDC0">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color w:val="auto"/>
                <w:kern w:val="0"/>
                <w:sz w:val="28"/>
                <w:szCs w:val="28"/>
                <w:highlight w:val="none"/>
                <w:lang w:val="en-US" w:eastAsia="zh-CN"/>
              </w:rPr>
              <w:t>湿地松高产脂种质创制及高效繁育技术与示范</w:t>
            </w:r>
          </w:p>
        </w:tc>
      </w:tr>
      <w:tr w14:paraId="4D98C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auto" w:sz="4" w:space="0"/>
            </w:tcBorders>
            <w:noWrap/>
            <w:vAlign w:val="center"/>
          </w:tcPr>
          <w:p w14:paraId="449B50C0">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lang w:val="en-US"/>
              </w:rPr>
            </w:pPr>
            <w:r>
              <w:rPr>
                <w:rFonts w:hint="default" w:ascii="Times New Roman" w:hAnsi="Times New Roman" w:eastAsia="仿宋_GB2312" w:cs="Times New Roman"/>
                <w:i w:val="0"/>
                <w:color w:val="auto"/>
                <w:kern w:val="0"/>
                <w:sz w:val="28"/>
                <w:szCs w:val="28"/>
                <w:highlight w:val="none"/>
                <w:u w:val="none"/>
                <w:lang w:val="en-US" w:eastAsia="zh-CN" w:bidi="ar"/>
              </w:rPr>
              <w:t>26</w:t>
            </w:r>
          </w:p>
        </w:tc>
        <w:tc>
          <w:tcPr>
            <w:tcW w:w="1836" w:type="dxa"/>
            <w:vMerge w:val="continue"/>
            <w:tcBorders>
              <w:top w:val="single" w:color="auto" w:sz="4" w:space="0"/>
              <w:left w:val="single" w:color="auto" w:sz="4" w:space="0"/>
              <w:bottom w:val="single" w:color="auto" w:sz="4" w:space="0"/>
              <w:right w:val="single" w:color="auto" w:sz="4" w:space="0"/>
            </w:tcBorders>
            <w:noWrap/>
            <w:vAlign w:val="center"/>
          </w:tcPr>
          <w:p w14:paraId="007EAB6E">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auto" w:sz="4" w:space="0"/>
              <w:bottom w:val="single" w:color="000000" w:sz="4" w:space="0"/>
              <w:right w:val="single" w:color="000000" w:sz="4" w:space="0"/>
            </w:tcBorders>
            <w:noWrap/>
            <w:vAlign w:val="center"/>
          </w:tcPr>
          <w:p w14:paraId="23C66AB3">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color w:val="auto"/>
                <w:sz w:val="28"/>
                <w:highlight w:val="none"/>
                <w:lang w:val="en-US" w:eastAsia="zh-CN"/>
              </w:rPr>
              <w:t>中药材粉防己、茶芎种质创新与高效培育</w:t>
            </w:r>
          </w:p>
        </w:tc>
      </w:tr>
      <w:tr w14:paraId="5FF67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17" w:hRule="atLeast"/>
          <w:jc w:val="center"/>
        </w:trPr>
        <w:tc>
          <w:tcPr>
            <w:tcW w:w="1154" w:type="dxa"/>
            <w:tcBorders>
              <w:top w:val="single" w:color="000000" w:sz="4" w:space="0"/>
              <w:left w:val="single" w:color="000000" w:sz="4" w:space="0"/>
              <w:bottom w:val="single" w:color="000000" w:sz="4" w:space="0"/>
              <w:right w:val="single" w:color="auto" w:sz="4" w:space="0"/>
            </w:tcBorders>
            <w:noWrap/>
            <w:vAlign w:val="center"/>
          </w:tcPr>
          <w:p w14:paraId="3FC0BA10">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lang w:val="en-US"/>
              </w:rPr>
            </w:pPr>
            <w:r>
              <w:rPr>
                <w:rFonts w:hint="default" w:ascii="Times New Roman" w:hAnsi="Times New Roman" w:eastAsia="仿宋_GB2312" w:cs="Times New Roman"/>
                <w:i w:val="0"/>
                <w:color w:val="auto"/>
                <w:kern w:val="0"/>
                <w:sz w:val="28"/>
                <w:szCs w:val="28"/>
                <w:highlight w:val="none"/>
                <w:u w:val="none"/>
                <w:lang w:val="en-US" w:eastAsia="zh-CN" w:bidi="ar"/>
              </w:rPr>
              <w:t>27</w:t>
            </w:r>
          </w:p>
        </w:tc>
        <w:tc>
          <w:tcPr>
            <w:tcW w:w="1836" w:type="dxa"/>
            <w:vMerge w:val="continue"/>
            <w:tcBorders>
              <w:top w:val="single" w:color="auto" w:sz="4" w:space="0"/>
              <w:left w:val="single" w:color="auto" w:sz="4" w:space="0"/>
              <w:bottom w:val="single" w:color="auto" w:sz="4" w:space="0"/>
              <w:right w:val="single" w:color="auto" w:sz="4" w:space="0"/>
            </w:tcBorders>
            <w:noWrap/>
            <w:vAlign w:val="center"/>
          </w:tcPr>
          <w:p w14:paraId="51DF9F0A">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auto" w:sz="4" w:space="0"/>
              <w:bottom w:val="single" w:color="000000" w:sz="4" w:space="0"/>
              <w:right w:val="single" w:color="000000" w:sz="4" w:space="0"/>
            </w:tcBorders>
            <w:noWrap/>
            <w:vAlign w:val="center"/>
          </w:tcPr>
          <w:p w14:paraId="12FF415E">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color w:val="auto"/>
                <w:kern w:val="0"/>
                <w:sz w:val="28"/>
                <w:szCs w:val="28"/>
                <w:highlight w:val="none"/>
              </w:rPr>
              <w:t>樟树</w:t>
            </w:r>
            <w:r>
              <w:rPr>
                <w:rFonts w:hint="default" w:ascii="Times New Roman" w:hAnsi="Times New Roman" w:eastAsia="仿宋_GB2312" w:cs="Times New Roman"/>
                <w:color w:val="auto"/>
                <w:kern w:val="0"/>
                <w:sz w:val="28"/>
                <w:szCs w:val="28"/>
                <w:highlight w:val="none"/>
                <w:lang w:val="en-US" w:eastAsia="zh-CN"/>
              </w:rPr>
              <w:t>材用</w:t>
            </w:r>
            <w:r>
              <w:rPr>
                <w:rFonts w:hint="default" w:ascii="Times New Roman" w:hAnsi="Times New Roman" w:eastAsia="仿宋_GB2312" w:cs="Times New Roman"/>
                <w:color w:val="auto"/>
                <w:kern w:val="0"/>
                <w:sz w:val="28"/>
                <w:szCs w:val="28"/>
                <w:highlight w:val="none"/>
              </w:rPr>
              <w:t>新品种选育</w:t>
            </w:r>
          </w:p>
        </w:tc>
      </w:tr>
      <w:tr w14:paraId="7CED4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auto" w:sz="4" w:space="0"/>
            </w:tcBorders>
            <w:noWrap/>
            <w:vAlign w:val="center"/>
          </w:tcPr>
          <w:p w14:paraId="7F7331E6">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lang w:val="en-US"/>
              </w:rPr>
            </w:pPr>
            <w:r>
              <w:rPr>
                <w:rFonts w:hint="default" w:ascii="Times New Roman" w:hAnsi="Times New Roman" w:eastAsia="仿宋_GB2312" w:cs="Times New Roman"/>
                <w:i w:val="0"/>
                <w:color w:val="auto"/>
                <w:kern w:val="0"/>
                <w:sz w:val="28"/>
                <w:szCs w:val="28"/>
                <w:highlight w:val="none"/>
                <w:u w:val="none"/>
                <w:lang w:val="en-US" w:eastAsia="zh-CN" w:bidi="ar"/>
              </w:rPr>
              <w:t>28</w:t>
            </w:r>
          </w:p>
        </w:tc>
        <w:tc>
          <w:tcPr>
            <w:tcW w:w="1836" w:type="dxa"/>
            <w:vMerge w:val="continue"/>
            <w:tcBorders>
              <w:top w:val="single" w:color="auto" w:sz="4" w:space="0"/>
              <w:left w:val="single" w:color="auto" w:sz="4" w:space="0"/>
              <w:bottom w:val="single" w:color="auto" w:sz="4" w:space="0"/>
              <w:right w:val="single" w:color="auto" w:sz="4" w:space="0"/>
            </w:tcBorders>
            <w:noWrap/>
            <w:vAlign w:val="center"/>
          </w:tcPr>
          <w:p w14:paraId="26B205BE">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auto" w:sz="4" w:space="0"/>
              <w:bottom w:val="single" w:color="000000" w:sz="4" w:space="0"/>
              <w:right w:val="single" w:color="000000" w:sz="4" w:space="0"/>
            </w:tcBorders>
            <w:noWrap/>
            <w:vAlign w:val="center"/>
          </w:tcPr>
          <w:p w14:paraId="281939CF">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color w:val="auto"/>
                <w:kern w:val="0"/>
                <w:sz w:val="28"/>
                <w:szCs w:val="28"/>
                <w:highlight w:val="none"/>
              </w:rPr>
              <w:t>雷竹林</w:t>
            </w:r>
            <w:r>
              <w:rPr>
                <w:rFonts w:hint="default" w:ascii="Times New Roman" w:hAnsi="Times New Roman" w:eastAsia="仿宋_GB2312" w:cs="Times New Roman"/>
                <w:color w:val="auto"/>
                <w:kern w:val="0"/>
                <w:sz w:val="28"/>
                <w:szCs w:val="28"/>
                <w:highlight w:val="none"/>
                <w:lang w:val="en-US" w:eastAsia="zh-CN"/>
              </w:rPr>
              <w:t>高效培育与</w:t>
            </w:r>
            <w:r>
              <w:rPr>
                <w:rFonts w:hint="default" w:ascii="Times New Roman" w:hAnsi="Times New Roman" w:eastAsia="仿宋_GB2312" w:cs="Times New Roman"/>
                <w:color w:val="auto"/>
                <w:kern w:val="0"/>
                <w:sz w:val="28"/>
                <w:szCs w:val="28"/>
                <w:highlight w:val="none"/>
              </w:rPr>
              <w:t>可持续经营技术示范</w:t>
            </w:r>
          </w:p>
        </w:tc>
      </w:tr>
      <w:tr w14:paraId="63C2B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auto" w:sz="4" w:space="0"/>
            </w:tcBorders>
            <w:noWrap/>
            <w:vAlign w:val="center"/>
          </w:tcPr>
          <w:p w14:paraId="64CCD365">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lang w:val="en-US"/>
              </w:rPr>
            </w:pPr>
            <w:r>
              <w:rPr>
                <w:rFonts w:hint="default" w:ascii="Times New Roman" w:hAnsi="Times New Roman" w:eastAsia="仿宋_GB2312" w:cs="Times New Roman"/>
                <w:i w:val="0"/>
                <w:color w:val="auto"/>
                <w:kern w:val="0"/>
                <w:sz w:val="28"/>
                <w:szCs w:val="28"/>
                <w:highlight w:val="none"/>
                <w:u w:val="none"/>
                <w:lang w:val="en-US" w:eastAsia="zh-CN" w:bidi="ar"/>
              </w:rPr>
              <w:t>29</w:t>
            </w:r>
          </w:p>
        </w:tc>
        <w:tc>
          <w:tcPr>
            <w:tcW w:w="1836" w:type="dxa"/>
            <w:vMerge w:val="continue"/>
            <w:tcBorders>
              <w:top w:val="single" w:color="auto" w:sz="4" w:space="0"/>
              <w:left w:val="single" w:color="auto" w:sz="4" w:space="0"/>
              <w:bottom w:val="single" w:color="auto" w:sz="4" w:space="0"/>
              <w:right w:val="single" w:color="auto" w:sz="4" w:space="0"/>
            </w:tcBorders>
            <w:noWrap/>
            <w:vAlign w:val="center"/>
          </w:tcPr>
          <w:p w14:paraId="14ED8A57">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auto" w:sz="4" w:space="0"/>
              <w:bottom w:val="single" w:color="000000" w:sz="4" w:space="0"/>
              <w:right w:val="single" w:color="000000" w:sz="4" w:space="0"/>
            </w:tcBorders>
            <w:noWrap/>
            <w:vAlign w:val="center"/>
          </w:tcPr>
          <w:p w14:paraId="2739C00E">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color w:val="auto"/>
                <w:kern w:val="0"/>
                <w:sz w:val="28"/>
                <w:szCs w:val="28"/>
                <w:highlight w:val="none"/>
              </w:rPr>
              <w:t>油茶林</w:t>
            </w:r>
            <w:r>
              <w:rPr>
                <w:rFonts w:hint="default" w:ascii="Times New Roman" w:hAnsi="Times New Roman" w:eastAsia="仿宋_GB2312" w:cs="Times New Roman"/>
                <w:color w:val="auto"/>
                <w:kern w:val="0"/>
                <w:sz w:val="28"/>
                <w:szCs w:val="28"/>
                <w:highlight w:val="none"/>
                <w:lang w:val="en-US" w:eastAsia="zh-CN"/>
              </w:rPr>
              <w:t>养分</w:t>
            </w:r>
            <w:r>
              <w:rPr>
                <w:rFonts w:hint="default" w:ascii="Times New Roman" w:hAnsi="Times New Roman" w:eastAsia="仿宋_GB2312" w:cs="Times New Roman"/>
                <w:color w:val="auto"/>
                <w:kern w:val="0"/>
                <w:sz w:val="28"/>
                <w:szCs w:val="28"/>
                <w:highlight w:val="none"/>
              </w:rPr>
              <w:t>与树体</w:t>
            </w:r>
            <w:r>
              <w:rPr>
                <w:rFonts w:hint="default" w:ascii="Times New Roman" w:hAnsi="Times New Roman" w:eastAsia="仿宋_GB2312" w:cs="Times New Roman"/>
                <w:color w:val="auto"/>
                <w:kern w:val="0"/>
                <w:sz w:val="28"/>
                <w:szCs w:val="28"/>
                <w:highlight w:val="none"/>
                <w:lang w:val="en-US" w:eastAsia="zh-CN"/>
              </w:rPr>
              <w:t>协同</w:t>
            </w:r>
            <w:r>
              <w:rPr>
                <w:rFonts w:hint="default" w:ascii="Times New Roman" w:hAnsi="Times New Roman" w:eastAsia="仿宋_GB2312" w:cs="Times New Roman"/>
                <w:color w:val="auto"/>
                <w:kern w:val="0"/>
                <w:sz w:val="28"/>
                <w:szCs w:val="28"/>
                <w:highlight w:val="none"/>
              </w:rPr>
              <w:t>调控技术研究</w:t>
            </w:r>
            <w:r>
              <w:rPr>
                <w:rFonts w:hint="default" w:ascii="Times New Roman" w:hAnsi="Times New Roman" w:eastAsia="仿宋_GB2312" w:cs="Times New Roman"/>
                <w:color w:val="auto"/>
                <w:kern w:val="0"/>
                <w:sz w:val="28"/>
                <w:szCs w:val="28"/>
                <w:highlight w:val="none"/>
                <w:lang w:val="en-US" w:eastAsia="zh-CN"/>
              </w:rPr>
              <w:t>示范</w:t>
            </w:r>
          </w:p>
        </w:tc>
      </w:tr>
      <w:tr w14:paraId="1C4C9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auto" w:sz="4" w:space="0"/>
            </w:tcBorders>
            <w:noWrap/>
            <w:vAlign w:val="center"/>
          </w:tcPr>
          <w:p w14:paraId="4B548271">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lang w:val="en-US"/>
              </w:rPr>
            </w:pPr>
            <w:r>
              <w:rPr>
                <w:rFonts w:hint="default" w:ascii="Times New Roman" w:hAnsi="Times New Roman" w:eastAsia="仿宋_GB2312" w:cs="Times New Roman"/>
                <w:i w:val="0"/>
                <w:color w:val="auto"/>
                <w:kern w:val="0"/>
                <w:sz w:val="28"/>
                <w:szCs w:val="28"/>
                <w:highlight w:val="none"/>
                <w:u w:val="none"/>
                <w:lang w:val="en-US" w:eastAsia="zh-CN" w:bidi="ar"/>
              </w:rPr>
              <w:t>30</w:t>
            </w:r>
          </w:p>
        </w:tc>
        <w:tc>
          <w:tcPr>
            <w:tcW w:w="1836" w:type="dxa"/>
            <w:vMerge w:val="continue"/>
            <w:tcBorders>
              <w:top w:val="single" w:color="auto" w:sz="4" w:space="0"/>
              <w:left w:val="single" w:color="auto" w:sz="4" w:space="0"/>
              <w:bottom w:val="single" w:color="auto" w:sz="4" w:space="0"/>
              <w:right w:val="single" w:color="auto" w:sz="4" w:space="0"/>
            </w:tcBorders>
            <w:noWrap/>
            <w:vAlign w:val="center"/>
          </w:tcPr>
          <w:p w14:paraId="336BB4DF">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auto" w:sz="4" w:space="0"/>
              <w:bottom w:val="single" w:color="000000" w:sz="4" w:space="0"/>
              <w:right w:val="single" w:color="000000" w:sz="4" w:space="0"/>
            </w:tcBorders>
            <w:noWrap/>
            <w:vAlign w:val="center"/>
          </w:tcPr>
          <w:p w14:paraId="6B98AC20">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color w:val="auto"/>
                <w:kern w:val="0"/>
                <w:sz w:val="28"/>
                <w:szCs w:val="28"/>
                <w:highlight w:val="none"/>
              </w:rPr>
              <w:t>竹原纤维</w:t>
            </w:r>
            <w:r>
              <w:rPr>
                <w:rFonts w:hint="default" w:ascii="Times New Roman" w:hAnsi="Times New Roman" w:eastAsia="仿宋_GB2312" w:cs="Times New Roman"/>
                <w:color w:val="auto"/>
                <w:kern w:val="0"/>
                <w:sz w:val="28"/>
                <w:szCs w:val="28"/>
                <w:highlight w:val="none"/>
                <w:lang w:val="en-US" w:eastAsia="zh-CN"/>
              </w:rPr>
              <w:t>环保</w:t>
            </w:r>
            <w:r>
              <w:rPr>
                <w:rFonts w:hint="default" w:ascii="Times New Roman" w:hAnsi="Times New Roman" w:eastAsia="仿宋_GB2312" w:cs="Times New Roman"/>
                <w:color w:val="auto"/>
                <w:kern w:val="0"/>
                <w:sz w:val="28"/>
                <w:szCs w:val="28"/>
                <w:highlight w:val="none"/>
              </w:rPr>
              <w:t>制备技术研究</w:t>
            </w:r>
            <w:r>
              <w:rPr>
                <w:rFonts w:hint="default" w:ascii="Times New Roman" w:hAnsi="Times New Roman" w:eastAsia="仿宋_GB2312" w:cs="Times New Roman"/>
                <w:color w:val="auto"/>
                <w:kern w:val="0"/>
                <w:sz w:val="28"/>
                <w:szCs w:val="28"/>
                <w:highlight w:val="none"/>
                <w:lang w:val="en-US" w:eastAsia="zh-CN"/>
              </w:rPr>
              <w:t>与示范</w:t>
            </w:r>
          </w:p>
        </w:tc>
      </w:tr>
      <w:tr w14:paraId="75DB0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auto" w:sz="4" w:space="0"/>
            </w:tcBorders>
            <w:noWrap/>
            <w:vAlign w:val="center"/>
          </w:tcPr>
          <w:p w14:paraId="72F92E47">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lang w:val="en-US"/>
              </w:rPr>
            </w:pPr>
            <w:r>
              <w:rPr>
                <w:rFonts w:hint="default" w:ascii="Times New Roman" w:hAnsi="Times New Roman" w:eastAsia="仿宋_GB2312" w:cs="Times New Roman"/>
                <w:i w:val="0"/>
                <w:color w:val="auto"/>
                <w:kern w:val="0"/>
                <w:sz w:val="28"/>
                <w:szCs w:val="28"/>
                <w:highlight w:val="none"/>
                <w:u w:val="none"/>
                <w:lang w:val="en-US" w:eastAsia="zh-CN" w:bidi="ar"/>
              </w:rPr>
              <w:t>31</w:t>
            </w:r>
          </w:p>
        </w:tc>
        <w:tc>
          <w:tcPr>
            <w:tcW w:w="1836" w:type="dxa"/>
            <w:vMerge w:val="continue"/>
            <w:tcBorders>
              <w:top w:val="single" w:color="auto" w:sz="4" w:space="0"/>
              <w:left w:val="single" w:color="auto" w:sz="4" w:space="0"/>
              <w:bottom w:val="single" w:color="auto" w:sz="4" w:space="0"/>
              <w:right w:val="single" w:color="auto" w:sz="4" w:space="0"/>
            </w:tcBorders>
            <w:noWrap/>
            <w:vAlign w:val="center"/>
          </w:tcPr>
          <w:p w14:paraId="71C86EEF">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auto" w:sz="4" w:space="0"/>
              <w:bottom w:val="single" w:color="000000" w:sz="4" w:space="0"/>
              <w:right w:val="single" w:color="000000" w:sz="4" w:space="0"/>
            </w:tcBorders>
            <w:noWrap/>
            <w:vAlign w:val="center"/>
          </w:tcPr>
          <w:p w14:paraId="748C14EE">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color w:val="auto"/>
                <w:kern w:val="0"/>
                <w:sz w:val="28"/>
                <w:szCs w:val="28"/>
                <w:highlight w:val="none"/>
                <w:lang w:val="en-US" w:eastAsia="zh-CN"/>
              </w:rPr>
              <w:t>松杉低效林功能提升技术研究与示范</w:t>
            </w:r>
          </w:p>
        </w:tc>
      </w:tr>
      <w:tr w14:paraId="25179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000000" w:sz="4" w:space="0"/>
            </w:tcBorders>
            <w:noWrap/>
            <w:vAlign w:val="center"/>
          </w:tcPr>
          <w:p w14:paraId="11CCAE36">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lang w:val="en-US"/>
              </w:rPr>
            </w:pPr>
            <w:r>
              <w:rPr>
                <w:rFonts w:hint="default" w:ascii="Times New Roman" w:hAnsi="Times New Roman" w:eastAsia="仿宋_GB2312" w:cs="Times New Roman"/>
                <w:i w:val="0"/>
                <w:color w:val="auto"/>
                <w:kern w:val="0"/>
                <w:sz w:val="28"/>
                <w:szCs w:val="28"/>
                <w:highlight w:val="none"/>
                <w:u w:val="none"/>
                <w:lang w:val="en-US" w:eastAsia="zh-CN" w:bidi="ar"/>
              </w:rPr>
              <w:t>32</w:t>
            </w:r>
          </w:p>
        </w:tc>
        <w:tc>
          <w:tcPr>
            <w:tcW w:w="1836" w:type="dxa"/>
            <w:vMerge w:val="restart"/>
            <w:tcBorders>
              <w:top w:val="single" w:color="auto" w:sz="4" w:space="0"/>
              <w:left w:val="single" w:color="000000" w:sz="4" w:space="0"/>
              <w:bottom w:val="single" w:color="auto" w:sz="4" w:space="0"/>
              <w:right w:val="single" w:color="000000" w:sz="4" w:space="0"/>
            </w:tcBorders>
            <w:noWrap/>
            <w:vAlign w:val="center"/>
          </w:tcPr>
          <w:p w14:paraId="0FCF5129">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kern w:val="0"/>
                <w:sz w:val="28"/>
                <w:szCs w:val="28"/>
                <w:highlight w:val="none"/>
                <w:u w:val="none"/>
                <w:lang w:val="en-US" w:eastAsia="zh-CN" w:bidi="ar"/>
              </w:rPr>
            </w:pPr>
            <w:r>
              <w:rPr>
                <w:rFonts w:hint="default" w:ascii="Times New Roman" w:hAnsi="Times New Roman" w:eastAsia="仿宋_GB2312" w:cs="Times New Roman"/>
                <w:i w:val="0"/>
                <w:color w:val="auto"/>
                <w:kern w:val="0"/>
                <w:sz w:val="28"/>
                <w:szCs w:val="28"/>
                <w:highlight w:val="none"/>
                <w:u w:val="none"/>
                <w:lang w:val="en-US" w:eastAsia="zh-CN" w:bidi="ar"/>
              </w:rPr>
              <w:t>生态</w:t>
            </w:r>
          </w:p>
          <w:p w14:paraId="3A9EFC8A">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kern w:val="0"/>
                <w:sz w:val="28"/>
                <w:szCs w:val="28"/>
                <w:highlight w:val="none"/>
                <w:u w:val="none"/>
                <w:lang w:val="en-US" w:eastAsia="zh-CN" w:bidi="ar"/>
              </w:rPr>
              <w:t>环境</w:t>
            </w:r>
          </w:p>
        </w:tc>
        <w:tc>
          <w:tcPr>
            <w:tcW w:w="5668" w:type="dxa"/>
            <w:tcBorders>
              <w:top w:val="single" w:color="000000" w:sz="4" w:space="0"/>
              <w:left w:val="single" w:color="000000" w:sz="4" w:space="0"/>
              <w:bottom w:val="single" w:color="000000" w:sz="4" w:space="0"/>
              <w:right w:val="single" w:color="000000" w:sz="4" w:space="0"/>
            </w:tcBorders>
            <w:noWrap/>
            <w:vAlign w:val="center"/>
          </w:tcPr>
          <w:p w14:paraId="34ED0DE0">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sz w:val="28"/>
                <w:szCs w:val="28"/>
                <w:highlight w:val="none"/>
                <w:u w:val="none"/>
              </w:rPr>
              <w:t>大气污染物与温室气体协同监测体系构建及示范应用</w:t>
            </w:r>
          </w:p>
        </w:tc>
      </w:tr>
      <w:tr w14:paraId="0E489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000000" w:sz="4" w:space="0"/>
            </w:tcBorders>
            <w:noWrap/>
            <w:vAlign w:val="center"/>
          </w:tcPr>
          <w:p w14:paraId="53928F40">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lang w:val="en-US"/>
              </w:rPr>
            </w:pPr>
            <w:r>
              <w:rPr>
                <w:rFonts w:hint="default" w:ascii="Times New Roman" w:hAnsi="Times New Roman" w:eastAsia="仿宋_GB2312" w:cs="Times New Roman"/>
                <w:i w:val="0"/>
                <w:color w:val="auto"/>
                <w:kern w:val="0"/>
                <w:sz w:val="28"/>
                <w:szCs w:val="28"/>
                <w:highlight w:val="none"/>
                <w:u w:val="none"/>
                <w:lang w:val="en-US" w:eastAsia="zh-CN" w:bidi="ar"/>
              </w:rPr>
              <w:t>33</w:t>
            </w:r>
          </w:p>
        </w:tc>
        <w:tc>
          <w:tcPr>
            <w:tcW w:w="1836" w:type="dxa"/>
            <w:vMerge w:val="continue"/>
            <w:tcBorders>
              <w:top w:val="single" w:color="auto" w:sz="4" w:space="0"/>
              <w:left w:val="single" w:color="000000" w:sz="4" w:space="0"/>
              <w:bottom w:val="single" w:color="auto" w:sz="4" w:space="0"/>
              <w:right w:val="single" w:color="000000" w:sz="4" w:space="0"/>
            </w:tcBorders>
            <w:noWrap/>
            <w:vAlign w:val="center"/>
          </w:tcPr>
          <w:p w14:paraId="661D6A18">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000000" w:sz="4" w:space="0"/>
              <w:bottom w:val="single" w:color="000000" w:sz="4" w:space="0"/>
              <w:right w:val="single" w:color="000000" w:sz="4" w:space="0"/>
            </w:tcBorders>
            <w:noWrap/>
            <w:vAlign w:val="center"/>
          </w:tcPr>
          <w:p w14:paraId="01687A7D">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sz w:val="28"/>
                <w:szCs w:val="28"/>
                <w:highlight w:val="none"/>
                <w:u w:val="none"/>
              </w:rPr>
              <w:t>典型工业大气重金属污染精准识别技术及装备研发</w:t>
            </w:r>
          </w:p>
        </w:tc>
      </w:tr>
      <w:tr w14:paraId="66785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000000" w:sz="4" w:space="0"/>
            </w:tcBorders>
            <w:noWrap/>
            <w:vAlign w:val="center"/>
          </w:tcPr>
          <w:p w14:paraId="783BA81E">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lang w:val="en-US"/>
              </w:rPr>
            </w:pPr>
            <w:r>
              <w:rPr>
                <w:rFonts w:hint="default" w:ascii="Times New Roman" w:hAnsi="Times New Roman" w:eastAsia="仿宋_GB2312" w:cs="Times New Roman"/>
                <w:i w:val="0"/>
                <w:color w:val="auto"/>
                <w:kern w:val="0"/>
                <w:sz w:val="28"/>
                <w:szCs w:val="28"/>
                <w:highlight w:val="none"/>
                <w:u w:val="none"/>
                <w:lang w:val="en-US" w:eastAsia="zh-CN" w:bidi="ar"/>
              </w:rPr>
              <w:t>34</w:t>
            </w:r>
          </w:p>
        </w:tc>
        <w:tc>
          <w:tcPr>
            <w:tcW w:w="1836" w:type="dxa"/>
            <w:vMerge w:val="continue"/>
            <w:tcBorders>
              <w:top w:val="single" w:color="auto" w:sz="4" w:space="0"/>
              <w:left w:val="single" w:color="000000" w:sz="4" w:space="0"/>
              <w:bottom w:val="single" w:color="auto" w:sz="4" w:space="0"/>
              <w:right w:val="single" w:color="000000" w:sz="4" w:space="0"/>
            </w:tcBorders>
            <w:noWrap/>
            <w:vAlign w:val="center"/>
          </w:tcPr>
          <w:p w14:paraId="7E4AAFE4">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000000" w:sz="4" w:space="0"/>
              <w:bottom w:val="single" w:color="000000" w:sz="4" w:space="0"/>
              <w:right w:val="single" w:color="000000" w:sz="4" w:space="0"/>
            </w:tcBorders>
            <w:noWrap/>
            <w:vAlign w:val="center"/>
          </w:tcPr>
          <w:p w14:paraId="220E2C7D">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sz w:val="28"/>
                <w:szCs w:val="28"/>
                <w:highlight w:val="none"/>
                <w:u w:val="none"/>
              </w:rPr>
              <w:t>除尘脱硝一体化技术及应用示范</w:t>
            </w:r>
          </w:p>
        </w:tc>
      </w:tr>
      <w:tr w14:paraId="357D8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000000" w:sz="4" w:space="0"/>
            </w:tcBorders>
            <w:noWrap/>
            <w:vAlign w:val="center"/>
          </w:tcPr>
          <w:p w14:paraId="394092BA">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lang w:val="en-US"/>
              </w:rPr>
            </w:pPr>
            <w:r>
              <w:rPr>
                <w:rFonts w:hint="default" w:ascii="Times New Roman" w:hAnsi="Times New Roman" w:eastAsia="仿宋_GB2312" w:cs="Times New Roman"/>
                <w:i w:val="0"/>
                <w:color w:val="auto"/>
                <w:kern w:val="0"/>
                <w:sz w:val="28"/>
                <w:szCs w:val="28"/>
                <w:highlight w:val="none"/>
                <w:u w:val="none"/>
                <w:lang w:val="en-US" w:eastAsia="zh-CN" w:bidi="ar"/>
              </w:rPr>
              <w:t>35</w:t>
            </w:r>
          </w:p>
        </w:tc>
        <w:tc>
          <w:tcPr>
            <w:tcW w:w="1836" w:type="dxa"/>
            <w:vMerge w:val="continue"/>
            <w:tcBorders>
              <w:top w:val="single" w:color="auto" w:sz="4" w:space="0"/>
              <w:left w:val="single" w:color="000000" w:sz="4" w:space="0"/>
              <w:bottom w:val="single" w:color="auto" w:sz="4" w:space="0"/>
              <w:right w:val="single" w:color="000000" w:sz="4" w:space="0"/>
            </w:tcBorders>
            <w:noWrap/>
            <w:vAlign w:val="center"/>
          </w:tcPr>
          <w:p w14:paraId="5F411501">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000000" w:sz="4" w:space="0"/>
              <w:bottom w:val="single" w:color="000000" w:sz="4" w:space="0"/>
              <w:right w:val="single" w:color="000000" w:sz="4" w:space="0"/>
            </w:tcBorders>
            <w:noWrap/>
            <w:vAlign w:val="center"/>
          </w:tcPr>
          <w:p w14:paraId="12385274">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sz w:val="28"/>
                <w:szCs w:val="28"/>
                <w:highlight w:val="none"/>
                <w:u w:val="none"/>
              </w:rPr>
              <w:t>化工行业典型难降解有机废水高效处理技术及示范</w:t>
            </w:r>
          </w:p>
        </w:tc>
      </w:tr>
      <w:tr w14:paraId="6277D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000000" w:sz="4" w:space="0"/>
            </w:tcBorders>
            <w:noWrap/>
            <w:vAlign w:val="center"/>
          </w:tcPr>
          <w:p w14:paraId="7E226CF1">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lang w:val="en-US"/>
              </w:rPr>
            </w:pPr>
            <w:r>
              <w:rPr>
                <w:rFonts w:hint="default" w:ascii="Times New Roman" w:hAnsi="Times New Roman" w:eastAsia="仿宋_GB2312" w:cs="Times New Roman"/>
                <w:i w:val="0"/>
                <w:color w:val="auto"/>
                <w:kern w:val="0"/>
                <w:sz w:val="28"/>
                <w:szCs w:val="28"/>
                <w:highlight w:val="none"/>
                <w:u w:val="none"/>
                <w:lang w:val="en-US" w:eastAsia="zh-CN" w:bidi="ar"/>
              </w:rPr>
              <w:t>36</w:t>
            </w:r>
          </w:p>
        </w:tc>
        <w:tc>
          <w:tcPr>
            <w:tcW w:w="1836" w:type="dxa"/>
            <w:vMerge w:val="continue"/>
            <w:tcBorders>
              <w:top w:val="single" w:color="auto" w:sz="4" w:space="0"/>
              <w:left w:val="single" w:color="000000" w:sz="4" w:space="0"/>
              <w:bottom w:val="single" w:color="auto" w:sz="4" w:space="0"/>
              <w:right w:val="single" w:color="000000" w:sz="4" w:space="0"/>
            </w:tcBorders>
            <w:noWrap/>
            <w:vAlign w:val="center"/>
          </w:tcPr>
          <w:p w14:paraId="450B3479">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000000" w:sz="4" w:space="0"/>
              <w:bottom w:val="single" w:color="000000" w:sz="4" w:space="0"/>
              <w:right w:val="single" w:color="000000" w:sz="4" w:space="0"/>
            </w:tcBorders>
            <w:noWrap/>
            <w:vAlign w:val="center"/>
          </w:tcPr>
          <w:p w14:paraId="6CF3BA70">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sz w:val="28"/>
                <w:szCs w:val="28"/>
                <w:highlight w:val="none"/>
                <w:u w:val="none"/>
              </w:rPr>
              <w:t>城市内湖污染精准溯查和水质提升技术及应用示范</w:t>
            </w:r>
          </w:p>
        </w:tc>
      </w:tr>
      <w:tr w14:paraId="3312B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000000" w:sz="4" w:space="0"/>
            </w:tcBorders>
            <w:noWrap/>
            <w:vAlign w:val="center"/>
          </w:tcPr>
          <w:p w14:paraId="5CBC7736">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lang w:val="en-US" w:eastAsia="zh-CN"/>
              </w:rPr>
            </w:pPr>
            <w:r>
              <w:rPr>
                <w:rFonts w:hint="default" w:ascii="Times New Roman" w:hAnsi="Times New Roman" w:eastAsia="仿宋_GB2312" w:cs="Times New Roman"/>
                <w:i w:val="0"/>
                <w:color w:val="auto"/>
                <w:sz w:val="28"/>
                <w:szCs w:val="28"/>
                <w:highlight w:val="none"/>
                <w:u w:val="none"/>
                <w:lang w:val="en-US" w:eastAsia="zh-CN"/>
              </w:rPr>
              <w:t>37</w:t>
            </w:r>
          </w:p>
        </w:tc>
        <w:tc>
          <w:tcPr>
            <w:tcW w:w="1836" w:type="dxa"/>
            <w:vMerge w:val="continue"/>
            <w:tcBorders>
              <w:top w:val="single" w:color="auto" w:sz="4" w:space="0"/>
              <w:left w:val="single" w:color="000000" w:sz="4" w:space="0"/>
              <w:bottom w:val="single" w:color="auto" w:sz="4" w:space="0"/>
              <w:right w:val="single" w:color="000000" w:sz="4" w:space="0"/>
            </w:tcBorders>
            <w:noWrap/>
            <w:vAlign w:val="center"/>
          </w:tcPr>
          <w:p w14:paraId="511FB4FE">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000000" w:sz="4" w:space="0"/>
              <w:bottom w:val="single" w:color="000000" w:sz="4" w:space="0"/>
              <w:right w:val="single" w:color="000000" w:sz="4" w:space="0"/>
            </w:tcBorders>
            <w:noWrap/>
            <w:vAlign w:val="center"/>
          </w:tcPr>
          <w:p w14:paraId="6C3306F3">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sz w:val="28"/>
                <w:szCs w:val="28"/>
                <w:highlight w:val="none"/>
                <w:u w:val="none"/>
              </w:rPr>
              <w:t>鄱阳湖流域水源地藻源性嗅味智能防控技术及应用示范</w:t>
            </w:r>
          </w:p>
        </w:tc>
      </w:tr>
      <w:tr w14:paraId="78C8B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000000" w:sz="4" w:space="0"/>
            </w:tcBorders>
            <w:noWrap/>
            <w:vAlign w:val="center"/>
          </w:tcPr>
          <w:p w14:paraId="05F7EB59">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kern w:val="0"/>
                <w:sz w:val="28"/>
                <w:szCs w:val="28"/>
                <w:highlight w:val="none"/>
                <w:u w:val="none"/>
                <w:lang w:val="en-US" w:eastAsia="zh-CN" w:bidi="ar"/>
              </w:rPr>
            </w:pPr>
            <w:r>
              <w:rPr>
                <w:rFonts w:hint="default" w:ascii="Times New Roman" w:hAnsi="Times New Roman" w:eastAsia="仿宋_GB2312" w:cs="Times New Roman"/>
                <w:i w:val="0"/>
                <w:color w:val="auto"/>
                <w:kern w:val="0"/>
                <w:sz w:val="28"/>
                <w:szCs w:val="28"/>
                <w:highlight w:val="none"/>
                <w:u w:val="none"/>
                <w:lang w:val="en-US" w:eastAsia="zh-CN" w:bidi="ar"/>
              </w:rPr>
              <w:t>38</w:t>
            </w:r>
          </w:p>
        </w:tc>
        <w:tc>
          <w:tcPr>
            <w:tcW w:w="1836" w:type="dxa"/>
            <w:vMerge w:val="continue"/>
            <w:tcBorders>
              <w:top w:val="single" w:color="auto" w:sz="4" w:space="0"/>
              <w:left w:val="single" w:color="000000" w:sz="4" w:space="0"/>
              <w:bottom w:val="single" w:color="auto" w:sz="4" w:space="0"/>
              <w:right w:val="single" w:color="000000" w:sz="4" w:space="0"/>
            </w:tcBorders>
            <w:noWrap/>
            <w:vAlign w:val="center"/>
          </w:tcPr>
          <w:p w14:paraId="3FDC59AE">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000000" w:sz="4" w:space="0"/>
              <w:bottom w:val="single" w:color="000000" w:sz="4" w:space="0"/>
              <w:right w:val="single" w:color="000000" w:sz="4" w:space="0"/>
            </w:tcBorders>
            <w:noWrap/>
            <w:vAlign w:val="center"/>
          </w:tcPr>
          <w:p w14:paraId="55CFCD62">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color w:val="auto"/>
                <w:kern w:val="0"/>
                <w:sz w:val="28"/>
                <w:szCs w:val="28"/>
                <w:highlight w:val="none"/>
              </w:rPr>
              <w:t>钢</w:t>
            </w:r>
            <w:r>
              <w:rPr>
                <w:rFonts w:ascii="Times New Roman" w:hAnsi="Times New Roman" w:eastAsia="仿宋_GB2312" w:cs="Times New Roman"/>
                <w:color w:val="auto"/>
                <w:kern w:val="0"/>
                <w:sz w:val="28"/>
                <w:szCs w:val="28"/>
                <w:highlight w:val="none"/>
              </w:rPr>
              <w:t>渣高值化利用与低碳协同处理技术及应用</w:t>
            </w:r>
          </w:p>
        </w:tc>
      </w:tr>
      <w:tr w14:paraId="1BF83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3" w:hRule="atLeast"/>
          <w:jc w:val="center"/>
        </w:trPr>
        <w:tc>
          <w:tcPr>
            <w:tcW w:w="1154" w:type="dxa"/>
            <w:tcBorders>
              <w:top w:val="single" w:color="000000" w:sz="4" w:space="0"/>
              <w:left w:val="single" w:color="000000" w:sz="4" w:space="0"/>
              <w:bottom w:val="single" w:color="000000" w:sz="4" w:space="0"/>
              <w:right w:val="single" w:color="000000" w:sz="4" w:space="0"/>
            </w:tcBorders>
            <w:noWrap/>
            <w:vAlign w:val="center"/>
          </w:tcPr>
          <w:p w14:paraId="51D8A5EB">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kern w:val="0"/>
                <w:sz w:val="28"/>
                <w:szCs w:val="28"/>
                <w:highlight w:val="none"/>
                <w:u w:val="none"/>
                <w:lang w:val="en-US" w:eastAsia="zh-CN" w:bidi="ar"/>
              </w:rPr>
            </w:pPr>
            <w:r>
              <w:rPr>
                <w:rFonts w:hint="default" w:ascii="Times New Roman" w:hAnsi="Times New Roman" w:eastAsia="仿宋_GB2312" w:cs="Times New Roman"/>
                <w:i w:val="0"/>
                <w:color w:val="auto"/>
                <w:kern w:val="0"/>
                <w:sz w:val="28"/>
                <w:szCs w:val="28"/>
                <w:highlight w:val="none"/>
                <w:u w:val="none"/>
                <w:lang w:val="en-US" w:eastAsia="zh-CN" w:bidi="ar"/>
              </w:rPr>
              <w:t>39</w:t>
            </w:r>
          </w:p>
        </w:tc>
        <w:tc>
          <w:tcPr>
            <w:tcW w:w="1836" w:type="dxa"/>
            <w:vMerge w:val="continue"/>
            <w:tcBorders>
              <w:top w:val="single" w:color="auto" w:sz="4" w:space="0"/>
              <w:left w:val="single" w:color="000000" w:sz="4" w:space="0"/>
              <w:bottom w:val="single" w:color="auto" w:sz="4" w:space="0"/>
              <w:right w:val="single" w:color="000000" w:sz="4" w:space="0"/>
            </w:tcBorders>
            <w:noWrap/>
            <w:vAlign w:val="center"/>
          </w:tcPr>
          <w:p w14:paraId="3CFCB934">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000000" w:sz="4" w:space="0"/>
              <w:bottom w:val="single" w:color="000000" w:sz="4" w:space="0"/>
              <w:right w:val="single" w:color="000000" w:sz="4" w:space="0"/>
            </w:tcBorders>
            <w:noWrap/>
            <w:vAlign w:val="center"/>
          </w:tcPr>
          <w:p w14:paraId="23FB2DBB">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color w:val="auto"/>
                <w:kern w:val="0"/>
                <w:sz w:val="28"/>
                <w:szCs w:val="28"/>
                <w:highlight w:val="none"/>
              </w:rPr>
            </w:pPr>
            <w:r>
              <w:rPr>
                <w:rFonts w:hint="default" w:ascii="Times New Roman" w:hAnsi="Times New Roman" w:eastAsia="仿宋_GB2312" w:cs="Times New Roman"/>
                <w:color w:val="auto"/>
                <w:kern w:val="0"/>
                <w:sz w:val="28"/>
                <w:szCs w:val="28"/>
                <w:highlight w:val="none"/>
              </w:rPr>
              <w:t>鄱阳湖水文情势变化下旗舰越冬水鸟栖息地恢复技术及应用示范</w:t>
            </w:r>
          </w:p>
        </w:tc>
      </w:tr>
      <w:tr w14:paraId="476CC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000000" w:sz="4" w:space="0"/>
            </w:tcBorders>
            <w:noWrap/>
            <w:vAlign w:val="center"/>
          </w:tcPr>
          <w:p w14:paraId="10113AF7">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lang w:val="en-US" w:eastAsia="zh-CN"/>
              </w:rPr>
            </w:pPr>
            <w:r>
              <w:rPr>
                <w:rFonts w:hint="default" w:ascii="Times New Roman" w:hAnsi="Times New Roman" w:eastAsia="仿宋_GB2312" w:cs="Times New Roman"/>
                <w:i w:val="0"/>
                <w:color w:val="auto"/>
                <w:sz w:val="28"/>
                <w:szCs w:val="28"/>
                <w:highlight w:val="none"/>
                <w:u w:val="none"/>
                <w:lang w:val="en-US" w:eastAsia="zh-CN"/>
              </w:rPr>
              <w:t>40</w:t>
            </w:r>
          </w:p>
        </w:tc>
        <w:tc>
          <w:tcPr>
            <w:tcW w:w="1836" w:type="dxa"/>
            <w:vMerge w:val="restart"/>
            <w:tcBorders>
              <w:top w:val="single" w:color="auto" w:sz="4" w:space="0"/>
              <w:left w:val="single" w:color="000000" w:sz="4" w:space="0"/>
              <w:bottom w:val="single" w:color="auto" w:sz="4" w:space="0"/>
              <w:right w:val="single" w:color="000000" w:sz="4" w:space="0"/>
            </w:tcBorders>
            <w:noWrap/>
            <w:vAlign w:val="center"/>
          </w:tcPr>
          <w:p w14:paraId="774558A8">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kern w:val="0"/>
                <w:sz w:val="28"/>
                <w:szCs w:val="28"/>
                <w:highlight w:val="none"/>
                <w:u w:val="none"/>
                <w:lang w:val="en-US" w:eastAsia="zh-CN" w:bidi="ar"/>
              </w:rPr>
              <w:t>水资源高效利用</w:t>
            </w:r>
          </w:p>
        </w:tc>
        <w:tc>
          <w:tcPr>
            <w:tcW w:w="5668" w:type="dxa"/>
            <w:tcBorders>
              <w:top w:val="single" w:color="000000" w:sz="4" w:space="0"/>
              <w:left w:val="single" w:color="000000" w:sz="4" w:space="0"/>
              <w:bottom w:val="single" w:color="000000" w:sz="4" w:space="0"/>
              <w:right w:val="single" w:color="000000" w:sz="4" w:space="0"/>
            </w:tcBorders>
            <w:noWrap/>
            <w:vAlign w:val="center"/>
          </w:tcPr>
          <w:p w14:paraId="7765C375">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sz w:val="28"/>
                <w:szCs w:val="28"/>
                <w:highlight w:val="none"/>
                <w:u w:val="none"/>
              </w:rPr>
              <w:t>大中型灌区水资源智能配置及数字孪生技术与应用示范</w:t>
            </w:r>
          </w:p>
        </w:tc>
      </w:tr>
      <w:tr w14:paraId="3FD7D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000000" w:sz="4" w:space="0"/>
            </w:tcBorders>
            <w:noWrap/>
            <w:vAlign w:val="center"/>
          </w:tcPr>
          <w:p w14:paraId="68164FE3">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lang w:val="en-US"/>
              </w:rPr>
            </w:pPr>
            <w:r>
              <w:rPr>
                <w:rFonts w:hint="default" w:ascii="Times New Roman" w:hAnsi="Times New Roman" w:eastAsia="仿宋_GB2312" w:cs="Times New Roman"/>
                <w:i w:val="0"/>
                <w:color w:val="auto"/>
                <w:kern w:val="0"/>
                <w:sz w:val="28"/>
                <w:szCs w:val="28"/>
                <w:highlight w:val="none"/>
                <w:u w:val="none"/>
                <w:lang w:val="en-US" w:eastAsia="zh-CN" w:bidi="ar"/>
              </w:rPr>
              <w:t>41</w:t>
            </w:r>
          </w:p>
        </w:tc>
        <w:tc>
          <w:tcPr>
            <w:tcW w:w="1836" w:type="dxa"/>
            <w:vMerge w:val="continue"/>
            <w:tcBorders>
              <w:top w:val="single" w:color="auto" w:sz="4" w:space="0"/>
              <w:left w:val="single" w:color="000000" w:sz="4" w:space="0"/>
              <w:bottom w:val="single" w:color="auto" w:sz="4" w:space="0"/>
              <w:right w:val="single" w:color="000000" w:sz="4" w:space="0"/>
            </w:tcBorders>
            <w:noWrap/>
            <w:vAlign w:val="center"/>
          </w:tcPr>
          <w:p w14:paraId="7E5D90D6">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000000" w:sz="4" w:space="0"/>
              <w:bottom w:val="single" w:color="000000" w:sz="4" w:space="0"/>
              <w:right w:val="single" w:color="000000" w:sz="4" w:space="0"/>
            </w:tcBorders>
            <w:noWrap/>
            <w:vAlign w:val="center"/>
          </w:tcPr>
          <w:p w14:paraId="10903117">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sz w:val="28"/>
                <w:szCs w:val="28"/>
                <w:highlight w:val="none"/>
                <w:u w:val="none"/>
              </w:rPr>
              <w:t>北斗与InSAR堤坝安全监测技术及应用示范</w:t>
            </w:r>
          </w:p>
        </w:tc>
      </w:tr>
      <w:tr w14:paraId="3EF15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auto" w:sz="4" w:space="0"/>
            </w:tcBorders>
            <w:noWrap/>
            <w:vAlign w:val="center"/>
          </w:tcPr>
          <w:p w14:paraId="4A8B0E59">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lang w:val="en-US"/>
              </w:rPr>
            </w:pPr>
            <w:r>
              <w:rPr>
                <w:rFonts w:hint="default" w:ascii="Times New Roman" w:hAnsi="Times New Roman" w:eastAsia="仿宋_GB2312" w:cs="Times New Roman"/>
                <w:i w:val="0"/>
                <w:color w:val="auto"/>
                <w:kern w:val="0"/>
                <w:sz w:val="28"/>
                <w:szCs w:val="28"/>
                <w:highlight w:val="none"/>
                <w:u w:val="none"/>
                <w:lang w:val="en-US" w:eastAsia="zh-CN" w:bidi="ar"/>
              </w:rPr>
              <w:t>42</w:t>
            </w:r>
          </w:p>
        </w:tc>
        <w:tc>
          <w:tcPr>
            <w:tcW w:w="1836" w:type="dxa"/>
            <w:vMerge w:val="restart"/>
            <w:tcBorders>
              <w:top w:val="single" w:color="auto" w:sz="4" w:space="0"/>
              <w:left w:val="single" w:color="auto" w:sz="4" w:space="0"/>
              <w:bottom w:val="single" w:color="auto" w:sz="4" w:space="0"/>
              <w:right w:val="single" w:color="auto" w:sz="4" w:space="0"/>
            </w:tcBorders>
            <w:noWrap/>
            <w:vAlign w:val="center"/>
          </w:tcPr>
          <w:p w14:paraId="433B49C4">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kern w:val="0"/>
                <w:sz w:val="28"/>
                <w:szCs w:val="28"/>
                <w:highlight w:val="none"/>
                <w:u w:val="none"/>
                <w:lang w:val="en-US" w:eastAsia="zh-CN" w:bidi="ar"/>
              </w:rPr>
            </w:pPr>
            <w:r>
              <w:rPr>
                <w:rFonts w:hint="default" w:ascii="Times New Roman" w:hAnsi="Times New Roman" w:eastAsia="仿宋_GB2312" w:cs="Times New Roman"/>
                <w:i w:val="0"/>
                <w:color w:val="auto"/>
                <w:kern w:val="0"/>
                <w:sz w:val="28"/>
                <w:szCs w:val="28"/>
                <w:highlight w:val="none"/>
                <w:u w:val="none"/>
                <w:lang w:val="en-US" w:eastAsia="zh-CN" w:bidi="ar"/>
              </w:rPr>
              <w:t>地质</w:t>
            </w:r>
          </w:p>
          <w:p w14:paraId="0A420D40">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kern w:val="0"/>
                <w:sz w:val="28"/>
                <w:szCs w:val="28"/>
                <w:highlight w:val="none"/>
                <w:u w:val="none"/>
                <w:lang w:val="en-US" w:eastAsia="zh-CN" w:bidi="ar"/>
              </w:rPr>
              <w:t>矿产</w:t>
            </w:r>
          </w:p>
        </w:tc>
        <w:tc>
          <w:tcPr>
            <w:tcW w:w="5668" w:type="dxa"/>
            <w:tcBorders>
              <w:top w:val="single" w:color="000000" w:sz="4" w:space="0"/>
              <w:left w:val="single" w:color="auto" w:sz="4" w:space="0"/>
              <w:bottom w:val="single" w:color="000000" w:sz="4" w:space="0"/>
              <w:right w:val="single" w:color="000000" w:sz="4" w:space="0"/>
            </w:tcBorders>
            <w:noWrap/>
            <w:vAlign w:val="center"/>
          </w:tcPr>
          <w:p w14:paraId="527628CF">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sz w:val="28"/>
                <w:szCs w:val="28"/>
                <w:highlight w:val="none"/>
                <w:u w:val="none"/>
              </w:rPr>
              <w:t>江西燕山期高产热花岗岩相关矿产成矿规律及勘查示范</w:t>
            </w:r>
          </w:p>
        </w:tc>
      </w:tr>
      <w:tr w14:paraId="341D5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auto" w:sz="4" w:space="0"/>
            </w:tcBorders>
            <w:noWrap/>
            <w:vAlign w:val="center"/>
          </w:tcPr>
          <w:p w14:paraId="266E781E">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lang w:val="en-US"/>
              </w:rPr>
            </w:pPr>
            <w:r>
              <w:rPr>
                <w:rFonts w:hint="default" w:ascii="Times New Roman" w:hAnsi="Times New Roman" w:eastAsia="仿宋_GB2312" w:cs="Times New Roman"/>
                <w:i w:val="0"/>
                <w:color w:val="auto"/>
                <w:kern w:val="0"/>
                <w:sz w:val="28"/>
                <w:szCs w:val="28"/>
                <w:highlight w:val="none"/>
                <w:u w:val="none"/>
                <w:lang w:val="en-US" w:eastAsia="zh-CN" w:bidi="ar"/>
              </w:rPr>
              <w:t>43</w:t>
            </w:r>
          </w:p>
        </w:tc>
        <w:tc>
          <w:tcPr>
            <w:tcW w:w="1836" w:type="dxa"/>
            <w:vMerge w:val="continue"/>
            <w:tcBorders>
              <w:top w:val="single" w:color="auto" w:sz="4" w:space="0"/>
              <w:left w:val="single" w:color="auto" w:sz="4" w:space="0"/>
              <w:bottom w:val="single" w:color="auto" w:sz="4" w:space="0"/>
              <w:right w:val="single" w:color="auto" w:sz="4" w:space="0"/>
            </w:tcBorders>
            <w:noWrap/>
            <w:vAlign w:val="center"/>
          </w:tcPr>
          <w:p w14:paraId="39F63BB7">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auto" w:sz="4" w:space="0"/>
              <w:bottom w:val="single" w:color="000000" w:sz="4" w:space="0"/>
              <w:right w:val="single" w:color="000000" w:sz="4" w:space="0"/>
            </w:tcBorders>
            <w:noWrap/>
            <w:vAlign w:val="center"/>
          </w:tcPr>
          <w:p w14:paraId="7A27091F">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sz w:val="28"/>
                <w:szCs w:val="28"/>
                <w:highlight w:val="none"/>
                <w:u w:val="none"/>
              </w:rPr>
              <w:t>江西中生代陆相火山盆地铜金多金属矿勘查技术及示范</w:t>
            </w:r>
          </w:p>
        </w:tc>
      </w:tr>
      <w:tr w14:paraId="5A574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auto" w:sz="4" w:space="0"/>
            </w:tcBorders>
            <w:noWrap/>
            <w:vAlign w:val="center"/>
          </w:tcPr>
          <w:p w14:paraId="515B1CB7">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lang w:val="en-US"/>
              </w:rPr>
            </w:pPr>
            <w:r>
              <w:rPr>
                <w:rFonts w:hint="default" w:ascii="Times New Roman" w:hAnsi="Times New Roman" w:eastAsia="仿宋_GB2312" w:cs="Times New Roman"/>
                <w:i w:val="0"/>
                <w:color w:val="auto"/>
                <w:kern w:val="0"/>
                <w:sz w:val="28"/>
                <w:szCs w:val="28"/>
                <w:highlight w:val="none"/>
                <w:u w:val="none"/>
                <w:lang w:val="en-US" w:eastAsia="zh-CN" w:bidi="ar"/>
              </w:rPr>
              <w:t>44</w:t>
            </w:r>
          </w:p>
        </w:tc>
        <w:tc>
          <w:tcPr>
            <w:tcW w:w="1836" w:type="dxa"/>
            <w:vMerge w:val="continue"/>
            <w:tcBorders>
              <w:top w:val="single" w:color="auto" w:sz="4" w:space="0"/>
              <w:left w:val="single" w:color="auto" w:sz="4" w:space="0"/>
              <w:bottom w:val="single" w:color="auto" w:sz="4" w:space="0"/>
              <w:right w:val="single" w:color="auto" w:sz="4" w:space="0"/>
            </w:tcBorders>
            <w:noWrap/>
            <w:vAlign w:val="center"/>
          </w:tcPr>
          <w:p w14:paraId="04A6D685">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auto" w:sz="4" w:space="0"/>
              <w:bottom w:val="single" w:color="000000" w:sz="4" w:space="0"/>
              <w:right w:val="single" w:color="000000" w:sz="4" w:space="0"/>
            </w:tcBorders>
            <w:noWrap/>
            <w:vAlign w:val="center"/>
          </w:tcPr>
          <w:p w14:paraId="0D9DC2CB">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sz w:val="28"/>
                <w:szCs w:val="28"/>
                <w:highlight w:val="none"/>
                <w:u w:val="none"/>
              </w:rPr>
              <w:t>沉</w:t>
            </w:r>
            <w:r>
              <w:rPr>
                <w:rFonts w:hint="default" w:ascii="Times New Roman" w:hAnsi="Times New Roman" w:eastAsia="仿宋_GB2312" w:cs="Times New Roman"/>
                <w:color w:val="auto"/>
                <w:kern w:val="0"/>
                <w:sz w:val="28"/>
                <w:szCs w:val="28"/>
                <w:highlight w:val="none"/>
              </w:rPr>
              <w:t>积型钒铼矿成矿规律预测找矿及应用</w:t>
            </w:r>
          </w:p>
        </w:tc>
      </w:tr>
      <w:tr w14:paraId="65521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auto" w:sz="4" w:space="0"/>
            </w:tcBorders>
            <w:noWrap/>
            <w:vAlign w:val="center"/>
          </w:tcPr>
          <w:p w14:paraId="08F5FD09">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lang w:val="en-US" w:eastAsia="zh-CN"/>
              </w:rPr>
            </w:pPr>
            <w:r>
              <w:rPr>
                <w:rFonts w:hint="default" w:ascii="Times New Roman" w:hAnsi="Times New Roman" w:eastAsia="仿宋_GB2312" w:cs="Times New Roman"/>
                <w:i w:val="0"/>
                <w:color w:val="auto"/>
                <w:sz w:val="28"/>
                <w:szCs w:val="28"/>
                <w:highlight w:val="none"/>
                <w:u w:val="none"/>
                <w:lang w:val="en-US" w:eastAsia="zh-CN"/>
              </w:rPr>
              <w:t>45</w:t>
            </w:r>
          </w:p>
        </w:tc>
        <w:tc>
          <w:tcPr>
            <w:tcW w:w="1836" w:type="dxa"/>
            <w:vMerge w:val="continue"/>
            <w:tcBorders>
              <w:top w:val="single" w:color="auto" w:sz="4" w:space="0"/>
              <w:left w:val="single" w:color="auto" w:sz="4" w:space="0"/>
              <w:bottom w:val="single" w:color="auto" w:sz="4" w:space="0"/>
              <w:right w:val="single" w:color="auto" w:sz="4" w:space="0"/>
            </w:tcBorders>
            <w:noWrap/>
            <w:vAlign w:val="center"/>
          </w:tcPr>
          <w:p w14:paraId="749786A4">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auto" w:sz="4" w:space="0"/>
              <w:bottom w:val="single" w:color="000000" w:sz="4" w:space="0"/>
              <w:right w:val="single" w:color="000000" w:sz="4" w:space="0"/>
            </w:tcBorders>
            <w:noWrap/>
            <w:vAlign w:val="center"/>
          </w:tcPr>
          <w:p w14:paraId="3CB0B926">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color w:val="auto"/>
                <w:kern w:val="0"/>
                <w:sz w:val="28"/>
                <w:szCs w:val="28"/>
                <w:highlight w:val="none"/>
              </w:rPr>
              <w:t>共伴生低品位镍资源高效利用技术及应用示范</w:t>
            </w:r>
          </w:p>
        </w:tc>
      </w:tr>
      <w:tr w14:paraId="2E443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1154" w:type="dxa"/>
            <w:tcBorders>
              <w:top w:val="single" w:color="000000" w:sz="4" w:space="0"/>
              <w:left w:val="single" w:color="000000" w:sz="4" w:space="0"/>
              <w:bottom w:val="single" w:color="000000" w:sz="4" w:space="0"/>
              <w:right w:val="single" w:color="auto" w:sz="4" w:space="0"/>
            </w:tcBorders>
            <w:noWrap/>
            <w:vAlign w:val="center"/>
          </w:tcPr>
          <w:p w14:paraId="1A41A50F">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sz w:val="28"/>
                <w:szCs w:val="28"/>
                <w:highlight w:val="none"/>
                <w:u w:val="none"/>
                <w:lang w:val="en-US" w:eastAsia="zh-CN"/>
              </w:rPr>
            </w:pPr>
            <w:r>
              <w:rPr>
                <w:rFonts w:hint="default" w:ascii="Times New Roman" w:hAnsi="Times New Roman" w:eastAsia="仿宋_GB2312" w:cs="Times New Roman"/>
                <w:i w:val="0"/>
                <w:color w:val="auto"/>
                <w:sz w:val="28"/>
                <w:szCs w:val="28"/>
                <w:highlight w:val="none"/>
                <w:u w:val="none"/>
                <w:lang w:val="en-US" w:eastAsia="zh-CN"/>
              </w:rPr>
              <w:t>46</w:t>
            </w:r>
          </w:p>
        </w:tc>
        <w:tc>
          <w:tcPr>
            <w:tcW w:w="1836" w:type="dxa"/>
            <w:vMerge w:val="continue"/>
            <w:tcBorders>
              <w:top w:val="single" w:color="auto" w:sz="4" w:space="0"/>
              <w:left w:val="single" w:color="auto" w:sz="4" w:space="0"/>
              <w:bottom w:val="single" w:color="auto" w:sz="4" w:space="0"/>
              <w:right w:val="single" w:color="auto" w:sz="4" w:space="0"/>
            </w:tcBorders>
            <w:noWrap/>
            <w:vAlign w:val="center"/>
          </w:tcPr>
          <w:p w14:paraId="12F3B8D9">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auto" w:sz="4" w:space="0"/>
              <w:bottom w:val="single" w:color="000000" w:sz="4" w:space="0"/>
              <w:right w:val="single" w:color="000000" w:sz="4" w:space="0"/>
            </w:tcBorders>
            <w:noWrap/>
            <w:vAlign w:val="center"/>
          </w:tcPr>
          <w:p w14:paraId="3A637318">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sz w:val="28"/>
                <w:szCs w:val="28"/>
                <w:highlight w:val="none"/>
                <w:u w:val="none"/>
              </w:rPr>
              <w:t>夏热冬冷地区浅层地热能利用技术及应用示范</w:t>
            </w:r>
          </w:p>
        </w:tc>
      </w:tr>
      <w:tr w14:paraId="3DB7A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3" w:hRule="atLeast"/>
          <w:jc w:val="center"/>
        </w:trPr>
        <w:tc>
          <w:tcPr>
            <w:tcW w:w="1154" w:type="dxa"/>
            <w:tcBorders>
              <w:top w:val="single" w:color="000000" w:sz="4" w:space="0"/>
              <w:left w:val="single" w:color="000000" w:sz="4" w:space="0"/>
              <w:bottom w:val="single" w:color="000000" w:sz="4" w:space="0"/>
              <w:right w:val="single" w:color="auto" w:sz="4" w:space="0"/>
            </w:tcBorders>
            <w:noWrap/>
            <w:vAlign w:val="center"/>
          </w:tcPr>
          <w:p w14:paraId="3FD31744">
            <w:pPr>
              <w:keepNext w:val="0"/>
              <w:keepLines w:val="0"/>
              <w:pageBreakBefore w:val="0"/>
              <w:widowControl w:val="0"/>
              <w:suppressLineNumbers w:val="0"/>
              <w:kinsoku/>
              <w:wordWrap/>
              <w:overflowPunct/>
              <w:topLinePunct w:val="0"/>
              <w:autoSpaceDE/>
              <w:autoSpaceDN/>
              <w:bidi w:val="0"/>
              <w:adjustRightInd/>
              <w:snapToGrid w:val="0"/>
              <w:spacing w:line="360" w:lineRule="exact"/>
              <w:jc w:val="center"/>
              <w:textAlignment w:val="center"/>
              <w:rPr>
                <w:rFonts w:hint="default" w:ascii="Times New Roman" w:hAnsi="Times New Roman" w:eastAsia="仿宋_GB2312" w:cs="Times New Roman"/>
                <w:i w:val="0"/>
                <w:color w:val="auto"/>
                <w:kern w:val="0"/>
                <w:sz w:val="28"/>
                <w:szCs w:val="28"/>
                <w:highlight w:val="none"/>
                <w:u w:val="none"/>
                <w:lang w:val="en-US" w:eastAsia="zh-CN" w:bidi="ar"/>
              </w:rPr>
            </w:pPr>
            <w:r>
              <w:rPr>
                <w:rFonts w:hint="default" w:ascii="Times New Roman" w:hAnsi="Times New Roman" w:eastAsia="仿宋_GB2312" w:cs="Times New Roman"/>
                <w:i w:val="0"/>
                <w:color w:val="auto"/>
                <w:kern w:val="0"/>
                <w:sz w:val="28"/>
                <w:szCs w:val="28"/>
                <w:highlight w:val="none"/>
                <w:u w:val="none"/>
                <w:lang w:val="en-US" w:eastAsia="zh-CN" w:bidi="ar"/>
              </w:rPr>
              <w:t>47</w:t>
            </w:r>
          </w:p>
        </w:tc>
        <w:tc>
          <w:tcPr>
            <w:tcW w:w="1836" w:type="dxa"/>
            <w:vMerge w:val="continue"/>
            <w:tcBorders>
              <w:top w:val="single" w:color="auto" w:sz="4" w:space="0"/>
              <w:left w:val="single" w:color="auto" w:sz="4" w:space="0"/>
              <w:bottom w:val="single" w:color="auto" w:sz="4" w:space="0"/>
              <w:right w:val="single" w:color="auto" w:sz="4" w:space="0"/>
            </w:tcBorders>
            <w:noWrap/>
            <w:vAlign w:val="center"/>
          </w:tcPr>
          <w:p w14:paraId="689A858C">
            <w:pPr>
              <w:keepNext w:val="0"/>
              <w:keepLines w:val="0"/>
              <w:pageBreakBefore w:val="0"/>
              <w:widowControl w:val="0"/>
              <w:kinsoku/>
              <w:wordWrap/>
              <w:overflowPunct/>
              <w:topLinePunct w:val="0"/>
              <w:autoSpaceDE/>
              <w:autoSpaceDN/>
              <w:bidi w:val="0"/>
              <w:adjustRightInd/>
              <w:snapToGrid w:val="0"/>
              <w:spacing w:line="360" w:lineRule="exact"/>
              <w:jc w:val="center"/>
              <w:rPr>
                <w:rFonts w:hint="default" w:ascii="Times New Roman" w:hAnsi="Times New Roman" w:eastAsia="仿宋_GB2312" w:cs="Times New Roman"/>
                <w:i w:val="0"/>
                <w:color w:val="auto"/>
                <w:sz w:val="28"/>
                <w:szCs w:val="28"/>
                <w:highlight w:val="none"/>
                <w:u w:val="none"/>
              </w:rPr>
            </w:pPr>
          </w:p>
        </w:tc>
        <w:tc>
          <w:tcPr>
            <w:tcW w:w="5668" w:type="dxa"/>
            <w:tcBorders>
              <w:top w:val="single" w:color="000000" w:sz="4" w:space="0"/>
              <w:left w:val="single" w:color="auto" w:sz="4" w:space="0"/>
              <w:bottom w:val="single" w:color="000000" w:sz="4" w:space="0"/>
              <w:right w:val="single" w:color="000000" w:sz="4" w:space="0"/>
            </w:tcBorders>
            <w:noWrap/>
            <w:vAlign w:val="center"/>
          </w:tcPr>
          <w:p w14:paraId="5BE0C905">
            <w:pPr>
              <w:keepNext w:val="0"/>
              <w:keepLines w:val="0"/>
              <w:pageBreakBefore w:val="0"/>
              <w:widowControl w:val="0"/>
              <w:suppressLineNumbers w:val="0"/>
              <w:kinsoku/>
              <w:wordWrap/>
              <w:overflowPunct/>
              <w:topLinePunct w:val="0"/>
              <w:autoSpaceDE/>
              <w:autoSpaceDN/>
              <w:bidi w:val="0"/>
              <w:adjustRightInd/>
              <w:snapToGrid w:val="0"/>
              <w:spacing w:line="360" w:lineRule="exact"/>
              <w:jc w:val="both"/>
              <w:textAlignment w:val="center"/>
              <w:rPr>
                <w:rFonts w:hint="default" w:ascii="Times New Roman" w:hAnsi="Times New Roman" w:eastAsia="仿宋_GB2312" w:cs="Times New Roman"/>
                <w:i w:val="0"/>
                <w:color w:val="auto"/>
                <w:sz w:val="28"/>
                <w:szCs w:val="28"/>
                <w:highlight w:val="none"/>
                <w:u w:val="none"/>
              </w:rPr>
            </w:pPr>
            <w:r>
              <w:rPr>
                <w:rFonts w:hint="default" w:ascii="Times New Roman" w:hAnsi="Times New Roman" w:eastAsia="仿宋_GB2312" w:cs="Times New Roman"/>
                <w:i w:val="0"/>
                <w:color w:val="auto"/>
                <w:sz w:val="28"/>
                <w:szCs w:val="28"/>
                <w:highlight w:val="none"/>
                <w:u w:val="none"/>
              </w:rPr>
              <w:t>江西铜多金属硫化矿绿色浮选、伴生资源利用技术及应用</w:t>
            </w:r>
          </w:p>
        </w:tc>
      </w:tr>
    </w:tbl>
    <w:p w14:paraId="59A0B2B2">
      <w:pPr>
        <w:pStyle w:val="5"/>
        <w:rPr>
          <w:rFonts w:hint="default" w:cs="Times New Roman"/>
          <w:color w:val="auto"/>
          <w:highlight w:val="none"/>
        </w:rPr>
      </w:pPr>
    </w:p>
    <w:p w14:paraId="03C83234">
      <w:pPr>
        <w:keepNext w:val="0"/>
        <w:keepLines w:val="0"/>
        <w:pageBreakBefore w:val="0"/>
        <w:widowControl w:val="0"/>
        <w:kinsoku/>
        <w:wordWrap/>
        <w:overflowPunct/>
        <w:topLinePunct w:val="0"/>
        <w:autoSpaceDE/>
        <w:autoSpaceDN/>
        <w:bidi w:val="0"/>
        <w:adjustRightInd/>
        <w:snapToGrid/>
        <w:spacing w:afterLines="0" w:line="600" w:lineRule="exact"/>
        <w:ind w:firstLine="640" w:firstLineChars="200"/>
        <w:textAlignment w:val="auto"/>
        <w:outlineLvl w:val="0"/>
        <w:rPr>
          <w:rFonts w:hint="default" w:ascii="Times New Roman" w:hAnsi="Times New Roman" w:eastAsia="黑体" w:cs="Times New Roman"/>
          <w:b w:val="0"/>
          <w:bCs w:val="0"/>
          <w:color w:val="auto"/>
          <w:sz w:val="32"/>
          <w:szCs w:val="32"/>
          <w:highlight w:val="none"/>
          <w:lang w:eastAsia="zh-CN"/>
        </w:rPr>
      </w:pPr>
      <w:r>
        <w:rPr>
          <w:rFonts w:hint="default" w:ascii="Times New Roman" w:hAnsi="Times New Roman" w:eastAsia="黑体" w:cs="Times New Roman"/>
          <w:b w:val="0"/>
          <w:bCs w:val="0"/>
          <w:color w:val="auto"/>
          <w:sz w:val="32"/>
          <w:szCs w:val="32"/>
          <w:highlight w:val="none"/>
          <w:lang w:eastAsia="zh-CN"/>
        </w:rPr>
        <w:t>二、指南内容</w:t>
      </w:r>
    </w:p>
    <w:p w14:paraId="2713F823">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0"/>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eastAsia="zh-CN"/>
        </w:rPr>
        <w:t>（一）种植业</w:t>
      </w:r>
    </w:p>
    <w:p w14:paraId="06EBF65B">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环境友好型水稻定向育种与应用</w:t>
      </w:r>
    </w:p>
    <w:p w14:paraId="2D7ADB06">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江西土壤贫瘠、绿色低碳水稻品种缺乏、影响农业双减目标实现等问题，探明调控菌根高效共生与水稻生长发育的平衡机制，揭示水稻-丛枝真菌共生界面营养交换的分子调控网络，定位克隆水稻-丛枝菌根高效共生新基因；开发与菌根高效共生、优质、氮高效、后期不贪青等重要性状紧密连锁的分子标记，定向选育高产、优质、减肥、减排的环境友好型水稻新种质/品种；开展共生体系适配性与标准化技术开发及生态安全与长期效益评估，并进行绿色高效栽培技术集成和大面积示范应用。</w:t>
      </w:r>
    </w:p>
    <w:p w14:paraId="38D9C901">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阐明协同调控菌根高效共生与水稻生长发育的平衡机制；绘制共生界面营养元素代谢、交换及调控的网络图谱；克隆水稻与微生物高效共生新基因1个；开发与菌根高效共生、优质、氮高效、后期不贪青等重要性状紧密连锁的分子标记4-6个；创制高产、优质、减肥、减排的环境友好型水稻新种质15-20份；定向选育环境友好型低碳水稻新品种1-2个，后期叶片转色顺畅、茎秆抗倒、稻穗色泽均匀、籽粒充实度高，米质达国优三级，实现减氮25%条件下产量提升5%；形成稻田长期温室气体监控与核算体系1套，申请植物新品种权或发明专利2件；示范面积累计达50万亩。</w:t>
      </w:r>
    </w:p>
    <w:p w14:paraId="2DB50D25">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6A5E5FC1">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5FA80A9E">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稻田肥沃耕层快速重建及产能提升技术研发与集成示范</w:t>
      </w:r>
    </w:p>
    <w:p w14:paraId="6F65E095">
      <w:pPr>
        <w:keepNext w:val="0"/>
        <w:keepLines w:val="0"/>
        <w:pageBreakBefore w:val="0"/>
        <w:widowControl w:val="0"/>
        <w:numPr>
          <w:ilvl w:val="0"/>
          <w:numId w:val="0"/>
        </w:numPr>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新改及复垦稻田退化、土壤扰动剧烈，导致土壤剖面构型破坏严重、养分异质性加大、生态功能退化等突出问题，研究量化不同地形特点、地块规模稻田土壤剖面构型、肥力特征及其空间变异，摸清不同类型稻田关键土壤肥力制约及障碍因子，研发新改及复垦稻田犁底层快速重建技术及配套作业技术规范，研发耕作层肥力定向选育及障碍消减技术和产品，分类集成稻田产能和生态功能协同提升技术模式，打造高标准农田应用场景。</w:t>
      </w:r>
    </w:p>
    <w:p w14:paraId="7A02F86D">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建成100亩新改及复垦稻田质量提升示范区各1个，耕层构型明显改善，耕层土壤容重、团聚体稳定性、有效耕层深度及均匀性、土壤有机质含量、速效养分含量和微生物生物量/活性等提升10%以上；实施区域范围内土壤平均等级上升0.5个单位（参考GB/T 33469）；构建定向选育及障碍消减技术模式各1套；制定稻田犁底层快速重建技术及配套作业技术相关标准1项；研发耕作层肥力定向选育产品1个，提供完整配方，授权发明专利1件；水稻产量提高8%以上，养分利用率提高10%以上，示范应用面积5万亩。</w:t>
      </w:r>
    </w:p>
    <w:p w14:paraId="14546C6B">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54C232D7">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077D0D11">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镉低积累早熟高产优质晚籼稻新品种选育与应用</w:t>
      </w:r>
    </w:p>
    <w:p w14:paraId="57F06AE7">
      <w:pPr>
        <w:keepNext w:val="0"/>
        <w:keepLines w:val="0"/>
        <w:pageBreakBefore w:val="0"/>
        <w:widowControl w:val="0"/>
        <w:numPr>
          <w:ilvl w:val="0"/>
          <w:numId w:val="0"/>
        </w:numPr>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我省当前短生育期优质低镉水稻种质资源匮乏、镉低积累与早熟、优质、高产、抗逆、抗倒等性状同步聚合的品种缺乏等问题，鉴定具有育种应用价值的镉低积累、抗倒伏新基因，创新育种技术与方法，开发多个优异性状高通量分子标记组合，构建表型+基因型高效鉴定技术，快速实现镉低积累、抗倒伏新基因与早熟、优质、抗病、高产等多优异性状的同步聚合；创制早熟优质镉低积累高产抗倒优异新种质，选育适宜江西省稻稻油三熟制模式生产的短生育期、优质、抗病、高产、抗倒伏的镉低积累晚籼稻新品种；研究和集成配套栽培技术，并进行示范。</w:t>
      </w:r>
    </w:p>
    <w:p w14:paraId="2B37A5BD">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克隆具有育种应用价值的镉低积累、抗倒伏新基因各1个，开发镉低积累、抗倒伏、早熟重要性状的功能分子标记3个；创制镉低积累与早熟、优质、抗病、抗倒、高产等多优异性状聚合的优异种质及骨干亲本20份以上；创建镉低积累、抗倒伏水稻表型+基因型高效精准育种技术体系1套，申请发明专利2件以上；育成适应市场需求的优质镉低积累早熟高产抗倒伏晚籼稻新品种2-3个：全生育期≤区试对照品种，杂交稻产量比对照增产3%以上、常规品种与对照产量相当，稻米品质达部颁三级，稻瘟病损失率≤5级；在土壤重金属镉含量在0.3-1.5mg/kg的耕地上产出的糙米镉含量检测值稳定低于0.2mg/kg，申请植物新品种权2项；研制优质镉低积累早熟高产抗倒伏晚籼稻新品种高产高效栽培技术规程1-2项；示范应用10万亩以上。</w:t>
      </w:r>
    </w:p>
    <w:p w14:paraId="00E84B07">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5F27D81B">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申报。</w:t>
      </w:r>
    </w:p>
    <w:p w14:paraId="2A3961E3">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4</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基于表型组学的旱粮作物抗旱育种辅助系统研发（青年科学家项目）</w:t>
      </w:r>
    </w:p>
    <w:p w14:paraId="7E03633F">
      <w:pPr>
        <w:keepNext w:val="0"/>
        <w:keepLines w:val="0"/>
        <w:pageBreakBefore w:val="0"/>
        <w:widowControl w:val="0"/>
        <w:numPr>
          <w:ilvl w:val="0"/>
          <w:numId w:val="0"/>
        </w:numPr>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旱粮作物抗旱性表型分析效率与精准性不足、缺乏高通量动态监测技术的问题，以大豆、玉米或薯类等作物为对象，重点研究图像预处理、图像超分辨率重建，以及图像匹配、图像分割、图像智能识别方法；开发图像处理、抗旱性自动筛选软件，建立基于智能图像处理与分析识别的作物抗旱性鉴定技术流程；建立表型与作物抗旱性之间的预测模型，结合群体的基因型数据，进行抗旱遗传定位分析，挖掘抗旱性主效遗传位点，创制抗旱性强的高产优质稳产突破性种质。</w:t>
      </w:r>
    </w:p>
    <w:p w14:paraId="028576AD">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利用大豆、玉米或薯类等作物的核心种质资源300份，研发室内高通量抗旱表型筛选平台1套；开发图像处理算法3项；提取全生育期抗旱表型性状5个以上，构建抗旱综合鉴定、表型预测和抗旱育种辅助技术体系1套，挖掘稳定的抗旱主效遗传位点3个以上，创制抗旱新种质5份以上，示范应用100亩，获授权发明专利1-2</w:t>
      </w:r>
      <w:r>
        <w:rPr>
          <w:rFonts w:hint="default" w:ascii="Times New Roman" w:hAnsi="Times New Roman" w:eastAsia="仿宋_GB2312" w:cs="Times New Roman"/>
          <w:b w:val="0"/>
          <w:bCs w:val="0"/>
          <w:color w:val="auto"/>
          <w:sz w:val="32"/>
          <w:szCs w:val="32"/>
          <w:highlight w:val="none"/>
          <w:lang w:val="en" w:eastAsia="zh-CN"/>
        </w:rPr>
        <w:t>件</w:t>
      </w:r>
      <w:r>
        <w:rPr>
          <w:rFonts w:hint="default" w:ascii="Times New Roman" w:hAnsi="Times New Roman" w:eastAsia="仿宋_GB2312" w:cs="Times New Roman"/>
          <w:b w:val="0"/>
          <w:bCs w:val="0"/>
          <w:color w:val="auto"/>
          <w:sz w:val="32"/>
          <w:szCs w:val="32"/>
          <w:highlight w:val="none"/>
          <w:lang w:val="en-US" w:eastAsia="zh-CN"/>
        </w:rPr>
        <w:t>。</w:t>
      </w:r>
    </w:p>
    <w:p w14:paraId="32C54EAA">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5A2C42E5">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2327C3E1">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 w:eastAsia="zh-CN"/>
        </w:rPr>
        <w:t>5</w:t>
      </w:r>
      <w:r>
        <w:rPr>
          <w:rFonts w:hint="eastAsia" w:ascii="Times New Roman" w:hAnsi="Times New Roman" w:eastAsia="仿宋_GB2312" w:cs="Times New Roman"/>
          <w:b/>
          <w:bCs/>
          <w:color w:val="auto"/>
          <w:sz w:val="32"/>
          <w:szCs w:val="32"/>
          <w:highlight w:val="none"/>
          <w:lang w:val="en" w:eastAsia="zh-CN"/>
        </w:rPr>
        <w:t>．</w:t>
      </w:r>
      <w:r>
        <w:rPr>
          <w:rFonts w:hint="default" w:ascii="Times New Roman" w:hAnsi="Times New Roman" w:eastAsia="仿宋_GB2312" w:cs="Times New Roman"/>
          <w:b/>
          <w:bCs/>
          <w:color w:val="auto"/>
          <w:sz w:val="32"/>
          <w:szCs w:val="32"/>
          <w:highlight w:val="none"/>
          <w:lang w:val="en-US" w:eastAsia="zh-CN"/>
        </w:rPr>
        <w:t>营养功能型短生育期高产油菜新品种选育与应用（青年科学家项目）</w:t>
      </w:r>
    </w:p>
    <w:p w14:paraId="5797C59D">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我省缺乏油菜高附加值营养功能型、短生育期高产品种等问题，从高附加值营养品质性状（神经酸、高油酸、吲哚三甲醇）的优异种质资源中，克隆关键功能基因并开发连锁的分子标记；创制高附加值营养功能型新种质；解析神经酸、高油酸、吲哚三甲醇合成的分子互作网络，构建多基因协同调控的合成生物育种途径；选育高附加值营养的短生育期高产优质新品系。</w:t>
      </w:r>
    </w:p>
    <w:p w14:paraId="3D4B4B9F">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收集并精准鉴定高附加值营养品质优异的种质资源50份以上，建立种质资源库，构建合成生物育种技术途径，创制油菜籽神经酸含量≥10%的新种质3份、油酸含量≥85%的新种质3份、吲哚三甲醇含量≥1%的新种质3份；克隆关键功能基因5个，开发与目标性状紧密连锁的功能分子标记10个，选育兼具高产、全生育期180天以内及高附加值营养品质的油菜新品系3-5个，登记新品种1-2个；产量比对照增产5%以上</w:t>
      </w:r>
      <w:r>
        <w:rPr>
          <w:rFonts w:hint="default" w:ascii="Times New Roman" w:hAnsi="Times New Roman" w:eastAsia="仿宋_GB2312" w:cs="Times New Roman"/>
          <w:b w:val="0"/>
          <w:bCs w:val="0"/>
          <w:color w:val="auto"/>
          <w:sz w:val="32"/>
          <w:szCs w:val="32"/>
          <w:highlight w:val="none"/>
          <w:lang w:val="en" w:eastAsia="zh-CN"/>
        </w:rPr>
        <w:t>；</w:t>
      </w:r>
      <w:r>
        <w:rPr>
          <w:rFonts w:hint="default" w:ascii="Times New Roman" w:hAnsi="Times New Roman" w:eastAsia="仿宋_GB2312" w:cs="Times New Roman"/>
          <w:b w:val="0"/>
          <w:bCs w:val="0"/>
          <w:color w:val="auto"/>
          <w:sz w:val="32"/>
          <w:szCs w:val="32"/>
          <w:highlight w:val="none"/>
          <w:lang w:val="en-US" w:eastAsia="zh-CN"/>
        </w:rPr>
        <w:t>制定配套栽培技术规程1项，建成示范基地1万亩以上。</w:t>
      </w:r>
    </w:p>
    <w:p w14:paraId="1207B02B">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7CD14897">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523990BE">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6</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高产耐湿宜机收芝麻新品种选育与应用</w:t>
      </w:r>
    </w:p>
    <w:p w14:paraId="3FF46230">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我省芝麻生长季节多雨、湿害严重，耐湿育种亲本不足、高产耐湿性品种缺乏、宜机收品种少等问题，引进收集国内外芝麻种质资源进行筛选与评价；开展芝麻耐湿优异种质的精准鉴定与功能基因挖掘，并开展耐湿性状遗传解析，定位主效QTL位点，开发功能标记，构建耐湿性分子标记辅助选择技术；创制高产、优质、耐湿、宜机收优异新种质，选育新品种，研发高产高效栽培技术，开展示范应用。</w:t>
      </w:r>
    </w:p>
    <w:p w14:paraId="1B20B432">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完成300份以上我国南方芝麻核心种质资源的精准鉴定，挖掘高耐湿优异种质3-5份；定位主效QTL/基因位点6-10个，开发功能分子标记5个；构建耐湿宜机收分子标记辅助选择技术体系1套，创制耐湿、高产、优质、宜机收优异新种质5-6份，选育新品种1-2个，增产5%以上、耐湿性强、自然落粒小于3%；制定配套栽培技术规程1-2项；建立核心示范点1-2个，应用推广2万亩以上。</w:t>
      </w:r>
    </w:p>
    <w:p w14:paraId="09563D7F">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16DCA5A9">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5ACC0A2B">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7</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优质抗高温猕猴桃新品种选育与应用（青年科学家项目）</w:t>
      </w:r>
    </w:p>
    <w:p w14:paraId="2668F539">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江西猕猴桃主栽品种特色优质不突出、自主选育品种缺乏问题，利用优质（高糖、高干物质）、抗高温的猕猴桃亲本构建杂交群体，筛选并鉴定猕猴桃优质、抗高温的主效基因，开发猕猴桃基因编辑体系，解析主效基因功能，开发优良性状育种分子标记；创制猕猴桃优质抗高温育种材料，选育高糖、高干物质等优质、抗高温新品种（系），研发配套轻简高效栽培技术，并进行示范应用。</w:t>
      </w:r>
    </w:p>
    <w:p w14:paraId="6B09F4CF">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构建猕猴桃亲本优质（高糖、高干物质）、抗高温等优良性状互补的杂交群体1个以上，后代个数不低于1000个；开发猕猴桃基因编辑体系1套，解析3-5个重要性状基因的功能；开发与高糖、高干物质及抗高温相关的分子标记3个以上，申请发明专利2件；利用分子标记在杂交群体中进行预见性验证，准确率不低于90%，选育适宜江西省栽培的优质（高糖、高干物质）、抗高温优异新品系4个，申请植物新品种权2个以上；研发轻简高效栽培技术体系1套，示范应用500亩以上。</w:t>
      </w:r>
    </w:p>
    <w:p w14:paraId="397F85AB">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6A915662">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8</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早生耐寒高产优质茶树定向育种与示范应用（青年科学家项目）</w:t>
      </w:r>
    </w:p>
    <w:p w14:paraId="7C54AC37">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我省明前茶价格高、市场需求产能不够，需早生耐寒高产优质品种等问题，开展高通量技术采集茶树核心种质资源的物候期、耐寒、产量和品质等表型数据及基因组数据研究，建立数据库，开发目标性状的功能型分子标记；基于多源数据融合的基因组最佳线性无偏预测和深度机器学习等，研究构建并优化早生耐寒高产优质茶树定向育种的全基因组精准选择模型，验证模型的预见性和精准性；应用该模型创制适合江西生态环境的早生耐寒高产优质种质，选育新品种并进行示范应用。</w:t>
      </w:r>
    </w:p>
    <w:p w14:paraId="5DBB9AC1">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建立300份以上茶树核心种质的表型及基因组数据库1个，开发与茶树早生、耐寒、产量和品质性状紧密连锁的功能型分子标记6个；建立早生、耐寒、产量和品质等单一目标的全基因组选择模型4个，建立多性状协同改良的早生耐寒高产优质茶树最优全基因组精准选择模型1个，鉴定效率提高30%以上、选择精准度&gt;90%；创制早生耐寒高产优质种质10份以上，选育新品种1个（与对照相比，萌芽期早10天以上、冻害指数小于5、产量提高8%以上、制茶品质评分提高2分），建立示范基地100亩以上，申请植物新品种权1个以上，登记新品种1个。</w:t>
      </w:r>
    </w:p>
    <w:p w14:paraId="61E3D0AC">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1E8250EE">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46F4B6A4">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9</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植物源农药高效合成技术研究及应用</w:t>
      </w:r>
    </w:p>
    <w:p w14:paraId="4470FF42">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江西柑橘、梨、桃、葡萄等木本果树真菌病害严重，高防控成效植物源农药匮乏问题，开展提升规模化细胞培养传质效率的发酵培养基优化与高产细胞团调控研究；开展生物反应器过程控制的发酵条件与环境参数优化研究；研究提升目标产物得率的前体物质及诱导子筛选、合成基因簇激活和关键酶过表达诱导技术；研发细胞发酵液及目标产物分离提取工艺；构建规模化细胞培养及分离提取技术体系，并示范应用。</w:t>
      </w:r>
    </w:p>
    <w:p w14:paraId="17D43E8C">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获得传质系数（KLa）&gt;8的高传质效率发酵培养基优化配方1个，目标产物含量提高5倍；确定生物反应器过程控制的发酵条件与环境参数1套；筛选出5倍目标产物得率的前体物质及诱导子，形成合成基因簇激活和关键酶过表达诱导技术1套、产物释放和成本控制配套技术1套；研发95%纯度目标产物分离提取生产工艺和设备1套；研发目标产物农药制剂1-2种，应用示范面积500亩以上，防控效率达75%以上，获授权发明专利1-2件。</w:t>
      </w:r>
    </w:p>
    <w:p w14:paraId="42AD0527">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2C83BC28">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申报。</w:t>
      </w:r>
    </w:p>
    <w:p w14:paraId="6090EAC5">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10</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稻田福寿螺绿色防控新产品创制与示范应用</w:t>
      </w:r>
    </w:p>
    <w:p w14:paraId="5E4351C4">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福寿螺严重威胁水稻安全生产、缺乏绿色高效防控技术问题，筛选植物源、微生物源活性分子，探查生物合成路径，研发低毒、特异的生物源防控制剂；筛选效率高、专一性强的候选靶标基因，创制新型“纳米+RNAi”杀螺农药；根据福寿螺生态习性及取食偏好，系统性筛选高效环境友好的食物源引诱剂和驱避剂；构建福寿螺绿色高效防控技术体系，并进行示范应用。</w:t>
      </w:r>
    </w:p>
    <w:p w14:paraId="7EC6D0F3">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筛选出高效、低毒、特异的植物源及微生物源活性分子1-2种；研制生物源防控制剂1-2种，其非靶标生物安全性较现有杀螺剂提高20%以上；筛选出高效、专一性的RNAi靶向候选基因1-2个，创制“RNAi+纳米”防控产品1-2个；研制高效诱食剂或趋避剂1-2种；制定省级（含）以上政府主管部门认可的防控技术或标准1项，构建绿色防控技术体系1套；建立100亩以上的核心示范区5个、1000亩以上示范区2个，推广应用总面积10万亩，防控效果达85%以上，亩均节本增效10%以上；申请发明专利2件，研发进入登记程序的新农药产品1个。</w:t>
      </w:r>
    </w:p>
    <w:p w14:paraId="622ABFD5">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33D2A8A2">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1306571F">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0"/>
        <w:rPr>
          <w:rFonts w:hint="eastAsia" w:ascii="楷体_GB2312" w:hAnsi="楷体_GB2312" w:eastAsia="楷体_GB2312" w:cs="楷体_GB2312"/>
          <w:b/>
          <w:bCs/>
          <w:color w:val="auto"/>
          <w:sz w:val="32"/>
          <w:szCs w:val="32"/>
          <w:highlight w:val="none"/>
          <w:lang w:val="en-US" w:eastAsia="zh-CN"/>
        </w:rPr>
      </w:pPr>
      <w:r>
        <w:rPr>
          <w:rFonts w:hint="default" w:ascii="楷体_GB2312" w:hAnsi="楷体_GB2312" w:eastAsia="楷体_GB2312" w:cs="楷体_GB2312"/>
          <w:b/>
          <w:bCs/>
          <w:color w:val="auto"/>
          <w:sz w:val="32"/>
          <w:szCs w:val="32"/>
          <w:highlight w:val="none"/>
          <w:lang w:eastAsia="zh-CN"/>
        </w:rPr>
        <w:t>（二）养殖</w:t>
      </w:r>
      <w:r>
        <w:rPr>
          <w:rFonts w:hint="eastAsia" w:ascii="楷体_GB2312" w:hAnsi="楷体_GB2312" w:eastAsia="楷体_GB2312" w:cs="楷体_GB2312"/>
          <w:b/>
          <w:bCs/>
          <w:color w:val="auto"/>
          <w:sz w:val="32"/>
          <w:szCs w:val="32"/>
          <w:highlight w:val="none"/>
          <w:lang w:val="en-US" w:eastAsia="zh-CN"/>
        </w:rPr>
        <w:t>业</w:t>
      </w:r>
    </w:p>
    <w:p w14:paraId="1D3BFD22">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11</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集约化水产养殖尾水生物协同净化技术研发与应用</w:t>
      </w:r>
    </w:p>
    <w:p w14:paraId="661D2435">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集约化水产养殖尾水悬浮物超标、氮磷富集、资源化利用率低及处理过程智能化管控不足等问题，开展尾水智能高效处理及生物协同净化技术研发与应用。研发集成物联网传输、智能曝气调控、微生物菌剂调控的智能化生物净化设施，提高系统处理能力和稳定性，降低运行成本；开展尾水生物协同净化处理，开发移动滤料生物膜等协同工艺，解析多营养级耦合机制，降低悬浮物、总氮、总磷浓度，提高生物净化效率与尾水回用率；构建“生物协同净化-智能监测调控-生态安全回用”绿色高效的水产健康养殖和尾水治理范式。</w:t>
      </w:r>
    </w:p>
    <w:p w14:paraId="252AB530">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研发高效智能尾水处理设施1套、生物协同净化系统1-2套，构建尾水闭合循环工艺1-2项，集成多源水质传感器、动态预警模型、物联网传输技术平台1个；制定尾水处理工艺1项，集成尾水处理核心技术2-3项，尾水悬浮物≤45mg/L、总氮≤3.0mg/L、总磷≤0.4mg/L，尾水排放达标率100%；建立低碳尾水治理示范基地2-3个，实现尾水回用率≥85%，综合运营成本降低20%以上；申请发明专利2-3件，获软件著作权2-3项，制定行业标准或规程1-2项。</w:t>
      </w:r>
    </w:p>
    <w:p w14:paraId="28BEEA0C">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6CD244DD">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0245EEAD">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12</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黑斑蛙新种质创制与早繁技术研发</w:t>
      </w:r>
    </w:p>
    <w:p w14:paraId="1E5122F9">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国内黑斑蛙养殖优良新品种（系）少、退化严重、病害日益加重和商品蛙集中上市等问题，收集、鉴定、保存黑斑蛙优良种质资源；发掘调控黑斑蛙生长、抗病及肌肉品质等性状的关键基因，并阐明其分子调控网络；开展黑斑蛙新种质培育和生长、抗病、肌肉品质等多性状协同选育研究；探索促性腺早熟机制、早繁亲本培育及调控技术，研发黑斑蛙早繁设备，构建早繁技术模式；研究不同养殖模式下规模化养殖的关键限制因素，构建“早稻-早蛙”等绿色高效生态养殖技术。</w:t>
      </w:r>
    </w:p>
    <w:p w14:paraId="357897EC">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建立黑斑蛙种质资源活体库1个，包含地方种群≥10个；挖掘生长、抗病和品质等优良性状关键功能基因2-3个；培育生长率提高20%或抗病力提高20%或品质优（肌肉蛋白质含量提高5%以上）的黑斑蛙新种质1-2种；研发黑斑蛙早繁设备1套，建立黑斑蛙早繁技术体系1套，早繁率提升30%，成蛙上市时间提前2个月；构建“早稻-早蛙”高效生态养殖技术规程2套，建立2-3个示范基地，面积不少于2000亩，早稻田综合效益提升50%；申请发明专利2-3件，申报地方标准1-2项。</w:t>
      </w:r>
    </w:p>
    <w:p w14:paraId="2CE01ACB">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15A6E1CC">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214974B3">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13</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昆虫蛋白源抗菌活性肽制备产品开发及应用</w:t>
      </w:r>
    </w:p>
    <w:p w14:paraId="5CC20E47">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水产品质量安全、抗生素替代品缺乏等问题，研究不同微生物发酵条件（底物、温度、菌种等）、酶解条件、预处理方式等对昆虫抗菌活性肽得率的影响，开发高效、稳定、低成本的抗菌活性肽制备技术；研究昆虫抗菌活性肽的抑菌活性以及对鱼虾的免疫调节和促生长作用，阐明其量效关系，解析抗菌活性肽的作用机制；明确兼具多重生物活性的关键肽段序列，开发具有抗病促生长作用的昆虫抗菌活性肽饲料添加剂产品，并在鱼虾养殖中进行示范应用。</w:t>
      </w:r>
    </w:p>
    <w:p w14:paraId="52F764BA">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建立高效、稳定、低成本的昆虫抗菌活性肽制备工艺1套，抗菌活性肽对鱼虾主要病原菌的最低抑菌浓度（MIC）不高于15μg/mL，鱼虾的饲料系数降低5%以上，成活率提高5%-10%；开发用于鱼虾养殖的高效抗菌活性肽产品2种；建成年产500吨以上规模的昆虫抗菌活性肽生产线1条，建立产品应用示范基地2个，示范应用200亩以上；申请发明专利2-3件，制定地方标准1项。</w:t>
      </w:r>
    </w:p>
    <w:p w14:paraId="4224F113">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80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2E868BE2">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申报。</w:t>
      </w:r>
    </w:p>
    <w:p w14:paraId="78140FD2">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14</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黄鳝减抗达标养殖技术研发与应用（青年科学家项目）</w:t>
      </w:r>
    </w:p>
    <w:p w14:paraId="36AC9BC9">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黄鳝养殖过程中不规范使用恩诺沙星等抗生素导致体内药物残留超标、影响水产品质量安全等问题，研究恩诺沙星在黄鳝体内的代谢规律，提出规范化精准使用方案；分析养殖密度与病害发生的关系，研究黄鳝生态防控技术，筛选或研发高效免疫增强剂和中草药复方等抗生素替代产品，构建黄鳝病害健康防控综合体系；评估黄鳝养殖过程中投入品抗生素隐性使用风险，研究养殖环境中抗生素残留与黄鳝药物残留超标的相关性，建立黄鳝养殖药物残留超标风险预警体系；集成黄鳝减抗、替抗和达标养殖保障技术体系，并进行示范应用。</w:t>
      </w:r>
    </w:p>
    <w:p w14:paraId="2360BF50">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制定恩诺沙星治疗黄鳝细菌性疾病的精准给药方案，筛选黄鳝免疫增强剂1-2种，开发替代抗生素的中草药复方1-2种；检测黄鳝养殖投入品100份以上，建立黄鳝药物残留超标风险等级评估方法1套；建立示范基地2个，示范基地面积1000亩，不得检出违规药物残留，黄鳝减抗达标养殖技术辐射面积1万亩以上；申请发明专利2-3件，制定黄鳝减抗达标养殖技术规程1-2套。</w:t>
      </w:r>
    </w:p>
    <w:p w14:paraId="3DF4A9D4">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80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179087B0">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7D0ECB18">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15</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鸡场集约化健康养殖数智化技术研究及示范</w:t>
      </w:r>
    </w:p>
    <w:p w14:paraId="6248F919">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传统鸡场存在的养殖环境调控智能化程度低、疾病防控预警难度大和饲料转化率低等难题，研发环境智能调控模型，对鸡场养殖环境等进行实时监测、精准预测和智能调控；运用深度学习算法，创建鸡群营养需求与饲料供给的生长指数模型；基于大模型技术，融合鸡只体态特征、异常行为及环境参数等多模态数据，研发疾病智能监测预警模型；构建鸡场健康养殖数智化系统，并开展示范应用。</w:t>
      </w:r>
    </w:p>
    <w:p w14:paraId="77AA2E65">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开发鸡场环境智能调控模型1个，鸡舍能耗降低5%以上；研发生长指数模型，动态调整饲喂策略，饲料转化率提高5%以上；开发基于多模态大模型学习的疾病智能监测预警模型1个，准确率达到90%以上，监测预警时间缩短20%以上；构建鸡场智慧养殖数智化管理系统1个；建立存栏10万羽以上规模的数智化养殖示范基地1个，实现饲养全流程智能集约化精准管理；申请发明专利3件、软件著作权3项。</w:t>
      </w:r>
    </w:p>
    <w:p w14:paraId="43FD0607">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498E0651">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申报。</w:t>
      </w:r>
    </w:p>
    <w:p w14:paraId="3B74EA75">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16</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江西地方黄牛优良肉质基因挖掘与配套技术应用</w:t>
      </w:r>
    </w:p>
    <w:p w14:paraId="7730C263">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江西地方黄牛优良肉质基因挖掘不足、遗传与营养及环境互作机制不明晰问题，筛选江西地方黄牛优良肉质性状关键基因；构建多组学联合分析系统，揭示基因-饲料-环境互作机制；结合基因型数据与本地饲料资源特点，利用AI算法优化饲料组合，制定营养调控方案，开发个性化饲粮配方；开展肉牛高效养殖示范，开发具有特色的优质牛肉产品。</w:t>
      </w:r>
    </w:p>
    <w:p w14:paraId="0FA8AD31">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建立江西地方黄牛品种肉质特性数据库1个；挖掘2-3个与肉质相关的关键基因或调控元件；开发基于AI算法优化的饲料营养监测系统1套，研发功能性饲料添加剂1-2个，构建基于地方黄牛个性化饲粮配方1-2个，本地特色饲料资源占比10%-20%；开发具有地方特色的优质牛肉产品1个；示范养殖地方黄牛2000头，饲料转化率提高5%以上，日增重提高3%-5%，背最长肌比例增加5%以上，屠宰率提高3%以上；申请发明专利2-3件；制定优质肉牛生产相关技术规程1个，获得软件著作权1-2项。</w:t>
      </w:r>
    </w:p>
    <w:p w14:paraId="6C8FBBC9">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42C8C2F3">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115791BC">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17</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水稻秸秆在肉牛养殖中安全高效利用技术与集成示范</w:t>
      </w:r>
    </w:p>
    <w:p w14:paraId="7096AA1E">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江西高温高湿环境下，水稻秸秆易霉变造成饲料化利用效率低及产业化效益不高等问题，开展水稻低温烘干加工设备参数和工艺优化研究，提高水稻秸秆收储加工粉碎、除尘、风选和低温烘干效率；研究水稻秸秆收储加工霉菌毒素和农药残留动态变化规律，提出水稻秸秆卫生安全评判指标；研发水稻秸秆饲料化利用菌酶协同混贮技术，筛选最佳酶、菌种及添加剂组合，研究其对肉牛生产性能、饲料转化率和肉品质的影响；研发水稻秸秆、牛粪、菌种等微生物发酵床垫料化利用技术，实现肉牛养殖粪污零排放。</w:t>
      </w:r>
    </w:p>
    <w:p w14:paraId="06800572">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研发水稻秸秆低温烘干设备工艺参数1套，建成水稻秸秆加工示范基地2个，单基地日加工水稻秸秆80-100吨、年处理量≥10000吨，加工效率提高40%，水稻秸秆霉菌毒素含量下降25%以上；制定水稻秸秆卫生安全标准体系1套；制定水稻秸秆低温烘干菌酶协同混贮技术规程2项，形成高效收储加工、安全评价、菌酶协同、发酵床等技术或工艺4套；建立存栏1000头以上肉牛养殖示范场2个，肉牛日增重提高10%以上，料肉比下降10%，温室气体减排10%以上；形成高温高湿条件下水稻秸秆-牛粪垫料化肉牛生态饲养模式1套；累计新增产值3000万元以上；申请发明专利2件。</w:t>
      </w:r>
    </w:p>
    <w:p w14:paraId="432D954A">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53D5ACC1">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申报。</w:t>
      </w:r>
    </w:p>
    <w:p w14:paraId="37D609F9">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18</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优质高产抗逆蛋鸭新品系选育</w:t>
      </w:r>
    </w:p>
    <w:p w14:paraId="4E26C3C0">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江西蛋鸭产业体量大，但种质特性不清、高产抗逆品种缺乏等问题，建立“表型-细胞遗传标记-分子遗传标记”三位一体的评价体系，精准评价蛋鸭资源群体，明确其种质特性；挖掘产蛋、青壳和抗逆等优异性状的关键基因，构建基因组选择与选配的高效分子育种技术体系，培育开产日龄早、产蛋性能优良、饲料转化率高、抗逆性强、适合多种饲养方式的蛋鸭新品系。</w:t>
      </w:r>
    </w:p>
    <w:p w14:paraId="3E0E2E54">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挖掘高产、青壳、抗逆等性状相关的细胞与分子标记4个，鉴定优良性状关键功能基因2个；构建“表型-细胞遗传标记-分子遗传标记”三位一体的评价体系1套；构建蛋鸭高产、青壳、抗逆性状高效选育技术体系1套；选育适应市场需求的优质、高产、抗逆专门化新品系2-3个，开产日龄105-113天，青壳率97%以上，72周龄产蛋量300枚以上，产蛋期料蛋比2.6-2.8:1，育成期成活率96%以上，产蛋期成活率96%以上，淘汰母鸭屠体外观白净、毛孔细致，屠宰率（全净膛）70%-75%；建立存栏5万羽以上种鸭示范基地1个；申请发明专利2件。</w:t>
      </w:r>
    </w:p>
    <w:p w14:paraId="7CE2B05C">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76BC5A1F">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19</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猪新发疫病防控技术与应用示范（青年科学家项目）</w:t>
      </w:r>
    </w:p>
    <w:p w14:paraId="7EFBC3E4">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生猪养殖新发疫病危害大、发生机制不明及防控技术薄弱等问题，研究猪盖塔病毒（GETV）、猪塞内卡病毒（SVV）和猪圆环病毒3型（PCV3）等病原的新型多重快速检测方法，开展猪新发病病原学和血清流行病学调查，揭示猪新发病原的感染情况、传播路径与致病机制；分离鉴定猪新发病原流行毒株，分析其遗传变异和进化特征，筛选病毒受体，探究病毒跨种传播机制，建立新发疫病预警体系，制定新发疫病综合防控方案，并进行示范应用。</w:t>
      </w:r>
    </w:p>
    <w:p w14:paraId="53016E73">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建立GETV、SVV和PCV3等新发病原的新型多重快速检测方法2-3种，检测猪疫病样品2000份以上；分离新发病原5株以上，测定GETV等病毒基因组5个以上；筛选出猪新发病原受体2个以上；建立GETV等新发病原感染性克隆技术，筛选疫苗毒株1-2株；制定生猪新发疫病防控技术方案1-2个；建立年出栏5万头以上的规模猪场疫病防控示范基地2个，示范场GETV、SVV和PCV3等新发病原发病率低于5%；申请发明专利1-2件。</w:t>
      </w:r>
    </w:p>
    <w:p w14:paraId="3CC0807D">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391A0078">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441BDBDE">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0"/>
        <w:rPr>
          <w:rFonts w:hint="eastAsia" w:ascii="楷体_GB2312" w:hAnsi="楷体_GB2312" w:eastAsia="楷体_GB2312" w:cs="楷体_GB2312"/>
          <w:b/>
          <w:bCs/>
          <w:color w:val="auto"/>
          <w:sz w:val="32"/>
          <w:szCs w:val="32"/>
          <w:highlight w:val="none"/>
          <w:lang w:val="en-US" w:eastAsia="zh-CN"/>
        </w:rPr>
      </w:pPr>
      <w:r>
        <w:rPr>
          <w:rFonts w:hint="default" w:ascii="楷体_GB2312" w:hAnsi="楷体_GB2312" w:eastAsia="楷体_GB2312" w:cs="楷体_GB2312"/>
          <w:b/>
          <w:bCs/>
          <w:color w:val="auto"/>
          <w:sz w:val="32"/>
          <w:szCs w:val="32"/>
          <w:highlight w:val="none"/>
          <w:lang w:eastAsia="zh-CN"/>
        </w:rPr>
        <w:t>（三）食品</w:t>
      </w:r>
    </w:p>
    <w:p w14:paraId="1CD4CC8A">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20</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食品小分子活性物质生物合成技术与规模化应用</w:t>
      </w:r>
    </w:p>
    <w:p w14:paraId="09033034">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食品小分子活性物质生物合成效率低、绿色制造技术缺乏等问题，突破高产多酚、氨基酸、有机酸等小分子活性物质微生物菌株的高通量筛选与改造技术，实现代谢路径动态优化调控，建立底物高效转化技术体系，开发基于人工智能的发酵过程智能控制系统；建立小分子活性物质活性保持技术，构建产物结晶控制技术，实现多级分离与结晶工艺协同控制，集成高密度发酵、膜分离等技术，建立食品小分子活性物质绿色制造技术并实现规模化生物合成。</w:t>
      </w:r>
    </w:p>
    <w:p w14:paraId="35F00282">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筛选获得小分子活性物质高产菌株≥2株；开发智能发酵过程控制与产物纯化技术≥2项，实现产品纯度≥99%；研发小分子物质活性保持技术≥2项；建成百吨级生产线≥1条，累计新增产值不低于2000万元；申请发明专利≥2件；建立企业标准≥2项。</w:t>
      </w:r>
    </w:p>
    <w:p w14:paraId="65B5D5A0">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110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68C78274">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申报。</w:t>
      </w:r>
    </w:p>
    <w:p w14:paraId="6B2C426E">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21</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肠源性有害代谢物调控技术在传统糕点中工程化应用（青年科学家项目）</w:t>
      </w:r>
    </w:p>
    <w:p w14:paraId="05DF8F6E">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高糖、高脂饮食易引发肠道微生态失衡等健康问题，以肠源性有害代谢物为核心调控靶点，研发活性膳食纤维与其它食物功能因子协同增益技术，开发具有精准强化传统糕点营养健康特性的系列食物配方；系统研究不同食物组分及加工工艺对富含活性膳食纤维等功能成分糕点的质构特性与风味释放的影响规律，突破高膳食纤维含量糕点的风味、色泽、质构、储藏等系列调控技术，从动物体内实验角度验证升级产品对肠源性有害代谢物的调控影响，开发兼具优良适口性、风味平衡的健康糕点，并开展产业化应用。</w:t>
      </w:r>
    </w:p>
    <w:p w14:paraId="1399DF92">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基于高糖、高脂饮食诱发的肠道微生态调控，开发2款富含膳食纤维糕点产品，主要功能成分有效抑制肠源性有害代谢物；与现有加工技术相比，典型风味物质提升10%以上；申请发明专利2-3件；在规模以上企业建立百吨级示范生产线1-2条，新增产值1000万元；制定技术标准1-2项。</w:t>
      </w:r>
    </w:p>
    <w:p w14:paraId="35C12C3E">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1CEBE024">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申报。</w:t>
      </w:r>
    </w:p>
    <w:p w14:paraId="1B5FF984">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22</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脐橙果渣风味物质高效利用技术及产业化示范（青年科学家项目）</w:t>
      </w:r>
    </w:p>
    <w:p w14:paraId="0968CAC7">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江西省脐橙果渣资源转化技术缺乏、产品附加值低、风味物质利用率不高等问题，突破脐橙果渣降解率低技术瓶颈，构建脐橙果渣标准化加工工艺与评价体系；提升挥发性风味物质的靶向富集技术，开发果渣天然风味剂制备技术；研发果渣高效预处理、风味物质稳态化锁存等关键工艺，实现果渣中果胶等功能成分的高效保留与风味保真；开发兼具风味保真与功能活性的系列高值化产品，建立脐橙果渣高效利用产业化技术体系，并开展产业化示范。</w:t>
      </w:r>
    </w:p>
    <w:p w14:paraId="57ACD704">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构建脐橙果渣降解率提升、风味物质定向调控、果渣高值化利用等新技术≥3项；开发饮品、风味膳食纤维添加剂、休闲食品等不同形式的营养健康产品3-4种，风味保真率达到80%以上，申请发明专利3-4件；在1-2家规模以上企业进行示范应用，建立百吨级生产示范线1-2条，新增产值1000万元以上。</w:t>
      </w:r>
    </w:p>
    <w:p w14:paraId="51551775">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034455A2">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申报。</w:t>
      </w:r>
    </w:p>
    <w:p w14:paraId="32E90246">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23</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富含特色淀粉食物资源精深加工技术及应用示范</w:t>
      </w:r>
    </w:p>
    <w:p w14:paraId="437453F7">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江西粉葛、山药等富含淀粉的特色食物资源特征成分不明确、产品附加值低等问题，系统挖掘特色淀粉食物资源功效因子，突破冷/热冲调、膳食组方、功效成分高效提取纯化等技术，解析加工前后功效成分含量、结构与活性的变化规律以及冲调结块机制；研发加工过程中稳定性保持与生物利用率提升技术；开发食用方便功效提升的功能性产品，以及高纯度功效成分提取物等高附加值产品，并开展示范应用。</w:t>
      </w:r>
    </w:p>
    <w:p w14:paraId="555D6F7C">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明确以粉葛、山药为代表的富含淀粉特色食物资源的特征功效成分（单体）≥5种（类），突破冷/热冲调、膳食组方、功效成分高效提取纯化等高值化加工技术≥4项，黄酮类、皂苷类、多糖类等功效成分（单体）提取率≥50%，纯度≥95%；粉末产品的热水冲调结块率低于10%；申请发明专利≥3件，开发高附加值功能性产品4-6种；建立百吨级示范生产线2-3条，新增产值1500万元以上。</w:t>
      </w:r>
    </w:p>
    <w:p w14:paraId="474AF359">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5350AD03">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申报。</w:t>
      </w:r>
    </w:p>
    <w:p w14:paraId="65AE1D9C">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24</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泰和乌鸡药用功效研究及功能性产品创制</w:t>
      </w:r>
    </w:p>
    <w:p w14:paraId="0933D708">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泰和乌鸡食药用价值科学认证不足，发挥营养保健价值的机制不明，黑色素、小分子肽的药效和药理机制缺乏全面系统科学研究等问题，挖掘泰和乌鸡鸡肉关键功能因子，解析其在人体内发挥营养保健功效的分子作用机制，建立泰和乌鸡生长周期、营养品质、功能因子数据库，攻克高品质乌鸡肽制备和品质提升技术，研制特定功效新型乌鸡肽产品组方，开展乌鸡肽产品的安全性、有效性评价，创制具有抗早衰促生殖健康的乌鸡功效产品。</w:t>
      </w:r>
    </w:p>
    <w:p w14:paraId="2DB00CE4">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挖掘泰和乌鸡鸡肉关键功能因子3-5个；建立泰和乌鸡生长周期-营养品质-功能因子数据库1-2个；研发高品质泰和乌鸡肽高效制备和品质提升技术1-2项；申请发明专利2-3项；开发1-2款具有抗早衰促生殖健康功效的乌鸡新产品，并完成人体安全性与有效性评价，制定企业、团体等相关标准1-2项，建立示范生产线1条。</w:t>
      </w:r>
    </w:p>
    <w:p w14:paraId="24A36865">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110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5D8D0BA1">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sz w:val="32"/>
          <w:szCs w:val="32"/>
          <w:highlight w:val="none"/>
          <w:lang w:val="en-US" w:eastAsia="zh-CN"/>
        </w:rPr>
        <w:t>泰和乌鸡</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w:t>
      </w:r>
      <w:r>
        <w:rPr>
          <w:rFonts w:hint="default" w:ascii="Times New Roman" w:hAnsi="Times New Roman" w:eastAsia="仿宋_GB2312" w:cs="Times New Roman"/>
          <w:b w:val="0"/>
          <w:bCs w:val="0"/>
          <w:color w:val="auto"/>
          <w:sz w:val="32"/>
          <w:szCs w:val="32"/>
          <w:highlight w:val="none"/>
          <w:lang w:val="en-US" w:eastAsia="zh-CN"/>
        </w:rPr>
        <w:t>泰和乌鸡</w:t>
      </w:r>
      <w:r>
        <w:rPr>
          <w:rFonts w:hint="default" w:ascii="Times New Roman" w:hAnsi="Times New Roman" w:eastAsia="仿宋_GB2312" w:cs="Times New Roman"/>
          <w:b w:val="0"/>
          <w:bCs w:val="0"/>
          <w:color w:val="auto"/>
          <w:kern w:val="2"/>
          <w:sz w:val="32"/>
          <w:szCs w:val="32"/>
          <w:highlight w:val="none"/>
          <w:lang w:val="en-US" w:eastAsia="zh-CN" w:bidi="ar-SA"/>
        </w:rPr>
        <w:t>企业申报。</w:t>
      </w:r>
    </w:p>
    <w:p w14:paraId="6824A94B">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0"/>
        <w:rPr>
          <w:rFonts w:hint="eastAsia" w:ascii="楷体_GB2312" w:hAnsi="楷体_GB2312" w:eastAsia="楷体_GB2312" w:cs="楷体_GB2312"/>
          <w:b/>
          <w:bCs/>
          <w:color w:val="auto"/>
          <w:sz w:val="32"/>
          <w:szCs w:val="32"/>
          <w:highlight w:val="none"/>
          <w:lang w:val="en-US" w:eastAsia="zh-CN"/>
        </w:rPr>
      </w:pPr>
      <w:r>
        <w:rPr>
          <w:rFonts w:hint="default" w:ascii="楷体_GB2312" w:hAnsi="楷体_GB2312" w:eastAsia="楷体_GB2312" w:cs="楷体_GB2312"/>
          <w:b/>
          <w:bCs/>
          <w:color w:val="auto"/>
          <w:sz w:val="32"/>
          <w:szCs w:val="32"/>
          <w:highlight w:val="none"/>
          <w:lang w:eastAsia="zh-CN"/>
        </w:rPr>
        <w:t>（四）林业</w:t>
      </w:r>
    </w:p>
    <w:p w14:paraId="67E1CF8E">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25</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湿地松高产脂种质创制及高效繁育技术与示范</w:t>
      </w:r>
    </w:p>
    <w:p w14:paraId="594C20C4">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我省湿地松高产脂良种缺乏、脂用林经营管理粗放及经济效益低等问题，开展湿地松高产脂种质资源收集与评价，联合常规育种和生物育种技术创制一批高产脂优良种质；选育湿地松高产脂良种；营建高产脂湿地松种子园；研发高产脂湿地松扦插和体胚苗高质量、大规模繁育技术体系。</w:t>
      </w:r>
    </w:p>
    <w:p w14:paraId="21D2C16E">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评价江西脂用湿地松种质资源，筛选高产脂湿地松种质材料10份，产脂量提高15%；建设高产脂湿地松种子园1个；制定湿地松高产脂良种苗木高效繁育技术规程1项；繁育良种苗木2万株，营造高产脂湿地松示范林500亩；获审定（认定）良种2-3个。</w:t>
      </w:r>
    </w:p>
    <w:p w14:paraId="0907FA53">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38A60FE6">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r>
        <w:rPr>
          <w:rFonts w:hint="default" w:ascii="Times New Roman" w:hAnsi="Times New Roman" w:eastAsia="仿宋_GB2312" w:cs="Times New Roman"/>
          <w:color w:val="auto"/>
          <w:sz w:val="32"/>
          <w:szCs w:val="32"/>
          <w:highlight w:val="none"/>
        </w:rPr>
        <w:t>实施周期3-4年</w:t>
      </w:r>
      <w:r>
        <w:rPr>
          <w:rFonts w:hint="default" w:ascii="Times New Roman" w:hAnsi="Times New Roman" w:eastAsia="仿宋_GB2312" w:cs="Times New Roman"/>
          <w:b w:val="0"/>
          <w:bCs w:val="0"/>
          <w:color w:val="auto"/>
          <w:kern w:val="2"/>
          <w:sz w:val="32"/>
          <w:szCs w:val="32"/>
          <w:highlight w:val="none"/>
          <w:lang w:val="en-US" w:eastAsia="zh-CN" w:bidi="ar-SA"/>
        </w:rPr>
        <w:t>。</w:t>
      </w:r>
    </w:p>
    <w:p w14:paraId="28EF3AAC">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26</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中药材粉防己、茶芎种质创新与高效培育</w:t>
      </w:r>
    </w:p>
    <w:p w14:paraId="337187A8">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江西道地与特色中药材粉防己、茶芎良种短缺、繁育及栽培技术落后等产业瓶颈问题，开展粉防己、茶芎种质资源收集与遗传多样性评价，建立核心种质资源库；挖掘高产、优质、抗逆的优异种质，培育新品种或良种，研究产量、品质形成对环境因子的响应机制；研发优良种质高效繁育技术，建立标准化的种苗繁育体系与规范化的生产示范基地，构建良种配套高效栽培技术体系。</w:t>
      </w:r>
    </w:p>
    <w:p w14:paraId="38554E67">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收集粉防己、茶芎种质资源各50份，构建其核心种质库（各保留≥80%遗传多样性）；选育粉防己、茶芎高产、高药效新品种各2-3个，获新品种权或审定（认定）良种2个；制定良种繁育技术规程各1项，建立规范化生产基地各100亩，产量较现有种植技术提高15%，主要药效成分含量提升10%；申请发明专利2-3件，其中获授权1件。</w:t>
      </w:r>
    </w:p>
    <w:p w14:paraId="0AE6C370">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14BDC845">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申报，</w:t>
      </w:r>
      <w:r>
        <w:rPr>
          <w:rFonts w:hint="default" w:ascii="Times New Roman" w:hAnsi="Times New Roman" w:eastAsia="仿宋_GB2312" w:cs="Times New Roman"/>
          <w:color w:val="auto"/>
          <w:sz w:val="32"/>
          <w:szCs w:val="32"/>
          <w:highlight w:val="none"/>
        </w:rPr>
        <w:t>实施周期3-4年</w:t>
      </w:r>
      <w:r>
        <w:rPr>
          <w:rFonts w:hint="default" w:ascii="Times New Roman" w:hAnsi="Times New Roman" w:eastAsia="仿宋_GB2312" w:cs="Times New Roman"/>
          <w:b w:val="0"/>
          <w:bCs w:val="0"/>
          <w:color w:val="auto"/>
          <w:kern w:val="2"/>
          <w:sz w:val="32"/>
          <w:szCs w:val="32"/>
          <w:highlight w:val="none"/>
          <w:lang w:val="en-US" w:eastAsia="zh-CN" w:bidi="ar-SA"/>
        </w:rPr>
        <w:t>。</w:t>
      </w:r>
    </w:p>
    <w:p w14:paraId="11400E08">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27</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樟树材用新品种选育</w:t>
      </w:r>
    </w:p>
    <w:p w14:paraId="1118C967">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樟树出材率低、传统育种技术滞后、材用良种缺乏等问题，筛选樟树材用优良家系或无性系，营建初级种子园；结合自然群体性状和家系变异以及分子辅助育种的手段，从生长特性、材性等方面开展樟树材用新品种选育研究；开展樟树体胚发生技术研究，建立樟树体胚发生与遗传转化技术体系。</w:t>
      </w:r>
    </w:p>
    <w:p w14:paraId="5BA886A1">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选育出材率高、材质好的材用优良种质10个以上，生长量提高25%，出材率提高15%；授权新品种或审定（认定）良种2-3个；营建材用樟树种子园100亩；营建材用樟树示范林500亩；建立樟树体胚发生与遗传转化技术体系1套；获授权发明专利1-2件。</w:t>
      </w:r>
    </w:p>
    <w:p w14:paraId="31282254">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color w:val="auto"/>
          <w:sz w:val="32"/>
          <w:szCs w:val="32"/>
          <w:highlight w:val="none"/>
        </w:rPr>
        <w:t>实施周期3-4年</w:t>
      </w:r>
      <w:r>
        <w:rPr>
          <w:rFonts w:hint="default" w:ascii="Times New Roman" w:hAnsi="Times New Roman" w:eastAsia="仿宋_GB2312" w:cs="Times New Roman"/>
          <w:snapToGrid w:val="0"/>
          <w:color w:val="auto"/>
          <w:kern w:val="0"/>
          <w:sz w:val="32"/>
          <w:szCs w:val="32"/>
          <w:highlight w:val="none"/>
          <w:lang w:val="en-US" w:eastAsia="zh-CN" w:bidi="ar-SA"/>
        </w:rPr>
        <w:t>。</w:t>
      </w:r>
    </w:p>
    <w:p w14:paraId="04BC6AF0">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28</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雷竹林高效培育与可持续经营技术示范（青年科学家项目）</w:t>
      </w:r>
    </w:p>
    <w:p w14:paraId="64A2CA82">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雷竹林地表覆盖土壤养分失衡、利用率低以及过量施肥导致面源污染等问题，研究雷竹林土壤养分动态特征及营养诊断技术；研究雷竹林关键生长期水、肥、温耦合调控机制及管理技术；研制雷竹林新型覆盖材料及专用菌肥。</w:t>
      </w:r>
    </w:p>
    <w:p w14:paraId="1DEEC153">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研发雷竹林地表覆盖土壤养分诊断技术1项，准确率达到80%以上；建立水、肥、温耦合调控技术1项；研制雷竹林新型覆盖材料及专用菌肥各1种；构建雷竹林地表覆盖可持续经营技术体系1套；获授权发明专利2件；建立示范林300亩，鲜笋产量2.5吨/亩。</w:t>
      </w:r>
    </w:p>
    <w:p w14:paraId="211A275E">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584114DD">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1114632A">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29</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油茶林养分与树体协同调控技术研究示范</w:t>
      </w:r>
    </w:p>
    <w:p w14:paraId="686F9E6A">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油茶林土壤与树体管理薄弱等突出问题，以提升江西油茶主推品种果实产量、茶油品质和经济效益为核心目标，重点突破土壤-微生物-树体养分协同调控技术瓶颈。研发适应红壤特性的专用微生物菌肥及其精准施用技术；开发油茶关键生育期的专用植物生长调节剂配方；创新树体调控技术，协调营养与生殖生长关系；集成示范土壤-微生物-树体养分协同调控关键技术。</w:t>
      </w:r>
    </w:p>
    <w:p w14:paraId="74ED827E">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建立土壤-微生物-树体养分协同调控关键技术体系1套；研发油茶专用微生物菌肥和生长调节剂配方各1种（套），获授权发明专利1-2件；建立土壤-微生物-树体养分协同调控关键技术示范基地200亩，油茶果实产量提升20%，含油率提升10%，经济效益提高10%。</w:t>
      </w:r>
    </w:p>
    <w:p w14:paraId="3063815F">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07925EC6">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690E0F62">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30</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竹原纤维环保制备技术研究与示范</w:t>
      </w:r>
    </w:p>
    <w:p w14:paraId="22C20AAC">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竹原纤维绿色提取技术缺乏、应用开发不足等问题，攻关竹原纤维绿色提取加工技术，研发竹材绿色预处理工艺；研发可控微损伤的纤维分丝装置及加工关键技术；研制竹原纤维环保性高效精炼脱胶工艺；构建竹原纤维生命周期评价（LCA），开发功能性竹原纤维产品，建立示范生产线。</w:t>
      </w:r>
    </w:p>
    <w:p w14:paraId="71387494">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建立竹原纤维绿色制备新技术1项，实现废水无排放，形成竹原纤维LCA报告；开发竹原纤维专用提取与应用设备1台套，制取的竹原纤维断裂强力≥1000cN，直径差异度≤30%，力学强度差异性降低20%以上；开发竹原纤维复合性产品1个，获授权发明专利2件，制定技术规程1项；建设年产500吨以上竹原纤维绿色制造示范生产线1条，年产值达500万元以上。</w:t>
      </w:r>
    </w:p>
    <w:p w14:paraId="51E46D5D">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3A99BA2A">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2E77F229">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31</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松杉低效林功能提升技术研究与示范（青年科学家项目）</w:t>
      </w:r>
    </w:p>
    <w:p w14:paraId="39DECD86">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松、杉纯林低效林偏多、功能偏低、树种结构单一、提升技术缺乏等问题，开展功能提升技术研究与示范，筛选适合与松、杉混交的优良阔叶树种；研究不同类型松、杉低效林间伐补阔技术，集成示范松、杉低效林提质增效培育技术。</w:t>
      </w:r>
    </w:p>
    <w:p w14:paraId="35E56614">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：筛选适合与松、杉混交的优良阔叶树种8种，混交林生长量提高10%，土壤速效养分提高10%；形成不同类型松、杉低效林提质增效模式6种，每种模式建立示范林300亩。</w:t>
      </w:r>
    </w:p>
    <w:p w14:paraId="6FC8C799">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3E97F008">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0"/>
        <w:rPr>
          <w:rFonts w:hint="eastAsia" w:ascii="楷体_GB2312" w:hAnsi="楷体_GB2312" w:eastAsia="楷体_GB2312" w:cs="楷体_GB2312"/>
          <w:b/>
          <w:bCs/>
          <w:color w:val="auto"/>
          <w:sz w:val="32"/>
          <w:szCs w:val="32"/>
          <w:highlight w:val="none"/>
          <w:lang w:val="en-US" w:eastAsia="zh-CN"/>
        </w:rPr>
      </w:pPr>
      <w:r>
        <w:rPr>
          <w:rFonts w:hint="default" w:ascii="楷体_GB2312" w:hAnsi="楷体_GB2312" w:eastAsia="楷体_GB2312" w:cs="楷体_GB2312"/>
          <w:b/>
          <w:bCs/>
          <w:color w:val="auto"/>
          <w:sz w:val="32"/>
          <w:szCs w:val="32"/>
          <w:highlight w:val="none"/>
          <w:lang w:eastAsia="zh-CN"/>
        </w:rPr>
        <w:t>（五）生态环境</w:t>
      </w:r>
    </w:p>
    <w:p w14:paraId="1CE7E0D8">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32</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大气污染物与温室气体协同监测体系构建及示范应用</w:t>
      </w:r>
    </w:p>
    <w:p w14:paraId="63EB2AD1">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江西省大气污染物与温室气体协同监测不足、时空分布特征不清等问题，构建“天-空-地”一体化协同监测体系，集成卫星遥感、无人机和地面监测站点等多源数据融合，全面解析大气污染物与温室气体时空分布特征；基于数据融合与深度学习校验技术，编制大气污染物及温室气体精细化排放清单和技术规范，动态追踪解析重点城市与重点行业排放高值热点时空变化规律，耦合多模型联用与智能优化技术,评估典型污染源的减污降碳协同效应；构建污染物与温室气体协同监测与多维度集成的精准溯源技术体系，形成“立体化监测网络—智能分析—动态管理—协同评估”全链条闭环路径，建立“重点区域管控—行业深度治理—减排协同效果量化”的标准化验证框架并示范应用。</w:t>
      </w:r>
    </w:p>
    <w:p w14:paraId="5AEDE51B">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形成覆盖“日-月-季-年”多时间尺度和“天-空-地”多空间尺度的大气污染物与温室气体协同监测多源融合数据集1套；建立重点区域精细化排放清单技术体系，形成覆盖不少于3个重点地市的碳污融合排放清单，空间分辨率不低于1×1公里，时间分辨率不低于1天；研制基于天空地一体化的大气污染物与温室气体协同监测与溯源平台1套，集成无人机组网三维矩阵实时监测系统，实现时间分辨率小于1分钟/帧，空间分辨率100-1000 m可调的监测技术，并在省级政府主管部门开展工程示范，至少覆盖3个重点地市，连续稳定运行时间不少于3个月，重点区域溯源精度≤1公里；申请或授权发明专利不少于2件。</w:t>
      </w:r>
    </w:p>
    <w:p w14:paraId="1FD8613D">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31D9B4A6">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39A3433F">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33</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典型工业大气重金属污染精准识别技术及装备研发（青年科学家项目）</w:t>
      </w:r>
    </w:p>
    <w:p w14:paraId="5416CE2C">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聚焦江西钢铁、水泥等重点行业大气重金属污染控制的迫切需求，研发高效采样技术，集成开发高灵敏度、高精度的大气重金属在线监测设备，增强污染动态感知能力；系统解析重点行业重金属大气排放特征及迁移转化规律；研发快速溯源技术，实现污染源精准定位与归因，并在典型园区开展示范应用。</w:t>
      </w:r>
    </w:p>
    <w:p w14:paraId="2A1AC078">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研发出高效实时采样技术，研制高精度大气重金属在线监测设备1套，实现监测时间分辨率不高于5分钟、检测误差不大于20%，设备可连续稳定工作72小时以上；建立钢铁、水泥等不少于2个行业的大气重金属排放指纹特征库，构建不少于1个典型园区重金属迁移转化时空分布数据库；研发重金属污染精准快速溯源技术，开展示范应用与效果验证；完成1个示范应用工程（单个场地面积&gt;2 km2，管控周期不少于6个月）；申请发明专利不少于2件。</w:t>
      </w:r>
    </w:p>
    <w:p w14:paraId="368581FB">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534D8E6A">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7794FDFE">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34</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除尘脱硝一体化技术及应用示范（青年科学家项目）</w:t>
      </w:r>
    </w:p>
    <w:p w14:paraId="1C35BF10">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冶金、建材、电力或化工典型工业领域高效一体化除尘脱硝治理难题，研发除尘脱硝一体化新材料，开展含尘废气中氮氧化物（NOx）的高效安全治理技术研究，开发除尘脱硝一体化高效治理技术，并开展工程应用示范。</w:t>
      </w:r>
    </w:p>
    <w:p w14:paraId="6DE1AD73">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：研制具有自主知识产权的除尘脱硝一体化高效耐毒功能新材料不少于1种，200℃ NO</w:t>
      </w:r>
      <w:r>
        <w:rPr>
          <w:rFonts w:hint="default" w:ascii="Times New Roman" w:hAnsi="Times New Roman" w:eastAsia="仿宋_GB2312" w:cs="Times New Roman"/>
          <w:b w:val="0"/>
          <w:bCs w:val="0"/>
          <w:color w:val="auto"/>
          <w:sz w:val="32"/>
          <w:szCs w:val="32"/>
          <w:highlight w:val="none"/>
          <w:vertAlign w:val="subscript"/>
          <w:lang w:val="en-US" w:eastAsia="zh-CN"/>
        </w:rPr>
        <w:t>x</w:t>
      </w:r>
      <w:r>
        <w:rPr>
          <w:rFonts w:hint="default" w:ascii="Times New Roman" w:hAnsi="Times New Roman" w:eastAsia="仿宋_GB2312" w:cs="Times New Roman"/>
          <w:b w:val="0"/>
          <w:bCs w:val="0"/>
          <w:color w:val="auto"/>
          <w:sz w:val="32"/>
          <w:szCs w:val="32"/>
          <w:highlight w:val="none"/>
          <w:lang w:val="en-US" w:eastAsia="zh-CN"/>
        </w:rPr>
        <w:t>转化率不低于90%，除尘效率≥99.9%；开发除尘脱硝一体化协同控制装备不少于1套，过滤风速≥1.0m/min，系统压降小于2500Pa，耐温性能≥450℃；建立示范工程不少于1个，实现稳定运行≥1000小时，NO</w:t>
      </w:r>
      <w:r>
        <w:rPr>
          <w:rFonts w:hint="default" w:ascii="Times New Roman" w:hAnsi="Times New Roman" w:eastAsia="仿宋_GB2312" w:cs="Times New Roman"/>
          <w:b w:val="0"/>
          <w:bCs w:val="0"/>
          <w:color w:val="auto"/>
          <w:sz w:val="32"/>
          <w:szCs w:val="32"/>
          <w:highlight w:val="none"/>
          <w:vertAlign w:val="subscript"/>
          <w:lang w:val="en-US" w:eastAsia="zh-CN"/>
        </w:rPr>
        <w:t>x</w:t>
      </w:r>
      <w:r>
        <w:rPr>
          <w:rFonts w:hint="default" w:ascii="Times New Roman" w:hAnsi="Times New Roman" w:eastAsia="仿宋_GB2312" w:cs="Times New Roman"/>
          <w:b w:val="0"/>
          <w:bCs w:val="0"/>
          <w:color w:val="auto"/>
          <w:sz w:val="32"/>
          <w:szCs w:val="32"/>
          <w:highlight w:val="none"/>
          <w:lang w:val="en-US" w:eastAsia="zh-CN"/>
        </w:rPr>
        <w:t>排放浓度≤50mg/Nm</w:t>
      </w:r>
      <w:r>
        <w:rPr>
          <w:rFonts w:hint="default" w:ascii="Times New Roman" w:hAnsi="Times New Roman" w:eastAsia="仿宋_GB2312" w:cs="Times New Roman"/>
          <w:b w:val="0"/>
          <w:bCs w:val="0"/>
          <w:color w:val="auto"/>
          <w:sz w:val="32"/>
          <w:szCs w:val="32"/>
          <w:highlight w:val="none"/>
          <w:vertAlign w:val="superscript"/>
          <w:lang w:val="en-US" w:eastAsia="zh-CN"/>
        </w:rPr>
        <w:t>3</w:t>
      </w:r>
      <w:r>
        <w:rPr>
          <w:rFonts w:hint="default" w:ascii="Times New Roman" w:hAnsi="Times New Roman" w:eastAsia="仿宋_GB2312" w:cs="Times New Roman"/>
          <w:b w:val="0"/>
          <w:bCs w:val="0"/>
          <w:color w:val="auto"/>
          <w:sz w:val="32"/>
          <w:szCs w:val="32"/>
          <w:highlight w:val="none"/>
          <w:lang w:val="en-US" w:eastAsia="zh-CN"/>
        </w:rPr>
        <w:t>，颗粒物排放浓度≤10 mg/Nm</w:t>
      </w:r>
      <w:r>
        <w:rPr>
          <w:rFonts w:hint="default" w:ascii="Times New Roman" w:hAnsi="Times New Roman" w:eastAsia="仿宋_GB2312" w:cs="Times New Roman"/>
          <w:b w:val="0"/>
          <w:bCs w:val="0"/>
          <w:color w:val="auto"/>
          <w:sz w:val="32"/>
          <w:szCs w:val="32"/>
          <w:highlight w:val="none"/>
          <w:vertAlign w:val="superscript"/>
          <w:lang w:val="en-US" w:eastAsia="zh-CN"/>
        </w:rPr>
        <w:t>3</w:t>
      </w:r>
      <w:r>
        <w:rPr>
          <w:rFonts w:hint="default" w:ascii="Times New Roman" w:hAnsi="Times New Roman" w:eastAsia="仿宋_GB2312" w:cs="Times New Roman"/>
          <w:b w:val="0"/>
          <w:bCs w:val="0"/>
          <w:color w:val="auto"/>
          <w:sz w:val="32"/>
          <w:szCs w:val="32"/>
          <w:highlight w:val="none"/>
          <w:lang w:val="en-US" w:eastAsia="zh-CN"/>
        </w:rPr>
        <w:t>，运行成本较现有分离式工艺降低10%以上；申请发明专利不少于2件。</w:t>
      </w:r>
    </w:p>
    <w:p w14:paraId="64A50D73">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30D7CD79">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申报。</w:t>
      </w:r>
    </w:p>
    <w:p w14:paraId="24F46755">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35</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化工行业典型难降解有机废水高效处理技术及示范（青年科学家项目）</w:t>
      </w:r>
    </w:p>
    <w:p w14:paraId="23A4F08C">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江西省典型化工行业难降解有机废水治理难题，研发高效、低成本、低碳足迹的新型催化氧化方法和工艺；研发高活性、高稳定性的有机固废衍生催化材料，实现难降解有机物高效矿化；建立催化活性位点与污染物转化关联模型，构建新型催化移动床反应器；开发典型化工行业难降解有机废水处理新工艺，并实现工程应用示范。</w:t>
      </w:r>
    </w:p>
    <w:p w14:paraId="5C48F3DE">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：研发典型化工行业难降解有机废水净化催化材料1种以上，在实际废水深度处理中难降解有机物去除率≥45%；开发1种催化氧化移动床反应器，形成多元催化氧化废水处理设备和工艺；建成处理规模不少于5m</w:t>
      </w:r>
      <w:r>
        <w:rPr>
          <w:rFonts w:hint="default" w:ascii="Times New Roman" w:hAnsi="Times New Roman" w:eastAsia="仿宋_GB2312" w:cs="Times New Roman"/>
          <w:b w:val="0"/>
          <w:bCs w:val="0"/>
          <w:color w:val="auto"/>
          <w:sz w:val="32"/>
          <w:szCs w:val="32"/>
          <w:highlight w:val="none"/>
          <w:vertAlign w:val="superscript"/>
          <w:lang w:val="en-US" w:eastAsia="zh-CN"/>
        </w:rPr>
        <w:t>3</w:t>
      </w:r>
      <w:r>
        <w:rPr>
          <w:rFonts w:hint="default" w:ascii="Times New Roman" w:hAnsi="Times New Roman" w:eastAsia="仿宋_GB2312" w:cs="Times New Roman"/>
          <w:b w:val="0"/>
          <w:bCs w:val="0"/>
          <w:color w:val="auto"/>
          <w:sz w:val="32"/>
          <w:szCs w:val="32"/>
          <w:highlight w:val="none"/>
          <w:lang w:val="en-US" w:eastAsia="zh-CN"/>
        </w:rPr>
        <w:t>/h的工程示范，预处理出水提高BOD/COD比0.15，深度处理出水水质达到或优于项目执行期《城镇污水处理厂污染物排放标准（GB18918-2002）》一级A标准；与传统催化氧化处理工艺相比，药剂投加量减少20%及以上，平均每吨废水处理成本降低不少于10%；申请发明专利不少于3件。</w:t>
      </w:r>
    </w:p>
    <w:p w14:paraId="07D6A54D">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186F9F1E">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23427356">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36</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城市内湖污染精准溯查和水质提升技术及应用示范</w:t>
      </w:r>
    </w:p>
    <w:p w14:paraId="42ACA744">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现有城市内湖污染来源复杂、治理难度大等问题，开发基于人工智能和深度学习的城市内湖内源和外源污染快速溯查技术，开发地下管网雨污混流动态监测和快速稳定预警技术；研究水质快速恶化调控因子及其作用机制，识别主要污染过程路径及致灾阈值；研究内湖局域水动力改善、雨水管网溢流污染调控、初雨面源污染控制、内源污染消减成套技术；研发用地约束条件下城市内湖生境重构和高效生态修复技术，在典型城市内湖开展技术集成和应用示范。</w:t>
      </w:r>
    </w:p>
    <w:p w14:paraId="4AEA6613">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研发城市内湖内源、外源污染快速智能溯查技术各1套，区分典型污染源准确率≥90%；开发地下管网雨污混流动态监测和快速稳定预警技术1套及以上，准确率≥85%；明确城市内湖水质快速恶化的关键调控因子及其作用机制，定量识别3项及以上主要致灾阈值；开发城市内湖污染控制与消减技术2套及以上，开发内湖生态修复与生境重构技术1套，开展面积不小于30亩的技术应用示范，示范区主要水质理化指标（TN、TP、COD、叶绿素a、溶解氧、透明度等）至少3项改善幅度≥30%，生物多样性提升20%以上；申请发明专利3件以上；制修订1-2项省级以上技术标准/规范；形成城市内湖精准溯源治理对策建议专报，被相关行业部门或地方政府采纳；城市内湖治理推广应用成功案例不少于1处。</w:t>
      </w:r>
    </w:p>
    <w:p w14:paraId="75E0772E">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05F8FDC7">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0C398C67">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37</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鄱阳湖流域水源地藻源性嗅味智能防控技术及应用示范</w:t>
      </w:r>
    </w:p>
    <w:p w14:paraId="5152BCA4">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近年来频发的饮用水源地蓝藻水华及其衍生的水体异味问题，开展典型水源嗅味物质（二甲基异莰醇、土臭素等）的产生机制与驱动因子研究；建立典型水源产嗅藻数据库，研发基于AI图像解析的产嗅藻智能识别与监测技术；构建以产嗅藻生物特性指标与驱动因子预测嗅味的AI模型，开发基于AI模型的水源嗅味预警系统；集成监测预警与控制技术，构建水源地藻源嗅味的监测预警控制综合管控平台；研发适用于藻源嗅味控制的水动力调节与生态调控技术，研发藻源嗅味控制装置，并开展水源地应用示范。</w:t>
      </w:r>
    </w:p>
    <w:p w14:paraId="06395398">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建立鄱阳湖流域水源地产嗅藻数据库1个，其中产嗅藻株不少于20株，覆盖不少于50个县级及以上的地表水型集中式饮用水水源地；构建基于AI模型的嗅味物质预警系统平台1个，提前1天预测精度大于70%；提出鄱阳湖流域水源地典型嗅味物质及产嗅藻的基准建议值和对应管理措施，被行业部门或地方政府采纳应用；研制藻源嗅味和产嗅藻的原位控制装置1套，每日可连续运行6小时以上，源水处理量达150 m</w:t>
      </w:r>
      <w:r>
        <w:rPr>
          <w:rFonts w:hint="default" w:ascii="Times New Roman" w:hAnsi="Times New Roman" w:eastAsia="仿宋_GB2312" w:cs="Times New Roman"/>
          <w:b w:val="0"/>
          <w:bCs w:val="0"/>
          <w:color w:val="auto"/>
          <w:sz w:val="32"/>
          <w:szCs w:val="32"/>
          <w:highlight w:val="none"/>
          <w:vertAlign w:val="superscript"/>
          <w:lang w:val="en-US" w:eastAsia="zh-CN"/>
        </w:rPr>
        <w:t>3</w:t>
      </w:r>
      <w:r>
        <w:rPr>
          <w:rFonts w:hint="default" w:ascii="Times New Roman" w:hAnsi="Times New Roman" w:eastAsia="仿宋_GB2312" w:cs="Times New Roman"/>
          <w:b w:val="0"/>
          <w:bCs w:val="0"/>
          <w:color w:val="auto"/>
          <w:sz w:val="32"/>
          <w:szCs w:val="32"/>
          <w:highlight w:val="none"/>
          <w:lang w:val="en-US" w:eastAsia="zh-CN"/>
        </w:rPr>
        <w:t>/天以上；建立示范工程1个，饮用水水源地水面面积500㎡以上，治理后产嗅藻去除率不低于70%，典型嗅味物质（如二甲基异莰醇）去除率不低于60%或最终浓度小于15 ng/L；申请发明专利3件及以上。</w:t>
      </w:r>
    </w:p>
    <w:p w14:paraId="79F13717">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654B2940">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38</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钢渣高值化利用与低碳协同处理技术及应用</w:t>
      </w:r>
    </w:p>
    <w:p w14:paraId="22EB224F">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江西省钢渣年产量高，综合利用率低，传统资源化途径消纳率低经济性差，制约产业高质量发展问题，研发钢渣全组分赋存状态与有价金属梯级综合利用技术；优化低碳协同处理工艺,集成钢渣余热回收与CO₂矿化技术；开发钢渣有价元素高值化利用；开展工程示范并建立运用场景下的环境风险评价；构建“技术可行性-经济合理性-环境安全性-社会接受度”的验证体系。</w:t>
      </w:r>
    </w:p>
    <w:p w14:paraId="279AE175">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开发钢渣全组分高值化利用与低碳协同处理技术1套；建设单条产线年处理能力≥10万吨高效利用示范工程1项，高附加值产品在总体产品中的比例≥60%，渣资源综合利用率≥95%；相关环保指标达到或优于项目执行期国家标准；碳排放强度≤50 kg CO₂/吨钢渣；构建覆盖钢渣“资源化-减量化-无害化”全链条的环境风险防控体系标准1套；申请发明专利不少于2件。</w:t>
      </w:r>
    </w:p>
    <w:p w14:paraId="611E6DBA">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7539D9FE">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申报。</w:t>
      </w:r>
    </w:p>
    <w:p w14:paraId="0BDC10BB">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39</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鄱阳湖水文情势变化下旗舰越冬水鸟栖息地恢复技术及应用示范</w:t>
      </w:r>
    </w:p>
    <w:p w14:paraId="35D02DAA">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鄱阳湖旗舰越冬水鸟白鹤、白枕鹤等觅食生境退化日趋严重的问题，分析旗舰越冬水鸟在自然生境与人工生境食源的差异及潜在的影响；研究鄱阳湖水位过程变化对水生植被演变的影响机制，构建湖泊水位-水生植被-湿地景观动态演变模型；分析现状及工程调控情景下鄱阳湖水生植物群落及湿地景观格局的演替趋势，估算不同情景下旗舰越冬水鸟关键食源植物的分布与生物量；研发水位调控、水质改善、关键食源植物恢复一体化的栖息地质量提升关键技术，提出不同情景下差异化的湿地恢复策略，并开展技术示范。</w:t>
      </w:r>
    </w:p>
    <w:p w14:paraId="66A448F2">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建立鄱阳湖旗舰水鸟时空分布与行为数据集，数据量不少于20万条；形成不同情景下，2030年和2035年鄱阳湖主要植物群落分布格局预测成果1套；提出旗舰越冬水鸟食源植物恢复技术和栖息地质量提升技术各1套；在鄱阳湖典型碟形湖区域建立越冬水鸟食物资源恢复示范区1-2个，恢复区单位面积苦草冬芽数量恢复至10-14个/平方米；形成软件著作权1-2项、技术规程1项。</w:t>
      </w:r>
    </w:p>
    <w:p w14:paraId="7B689817">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70092069">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0"/>
        <w:rPr>
          <w:rFonts w:hint="eastAsia" w:ascii="楷体_GB2312" w:hAnsi="楷体_GB2312" w:eastAsia="楷体_GB2312" w:cs="楷体_GB2312"/>
          <w:b/>
          <w:bCs/>
          <w:color w:val="auto"/>
          <w:sz w:val="32"/>
          <w:szCs w:val="32"/>
          <w:highlight w:val="none"/>
          <w:lang w:val="en-US" w:eastAsia="zh-CN"/>
        </w:rPr>
      </w:pPr>
      <w:r>
        <w:rPr>
          <w:rFonts w:hint="default" w:ascii="楷体_GB2312" w:hAnsi="楷体_GB2312" w:eastAsia="楷体_GB2312" w:cs="楷体_GB2312"/>
          <w:b/>
          <w:bCs/>
          <w:color w:val="auto"/>
          <w:sz w:val="32"/>
          <w:szCs w:val="32"/>
          <w:highlight w:val="none"/>
          <w:lang w:eastAsia="zh-CN"/>
        </w:rPr>
        <w:t>（六）水资源高效利用</w:t>
      </w:r>
    </w:p>
    <w:p w14:paraId="338354CD">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40</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大中型灌区水资源智能配置及数字孪生技术与应用示范</w:t>
      </w:r>
    </w:p>
    <w:p w14:paraId="212934AE">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大中型灌区当下水资源智能调配及高效节水要求，解析灌区地表水-土壤水转化机理，研发无人机与卫星遥感灌区监测技术；构建“物理模型+AI”混合框架，研发灌区“供-用-耗-排”多过程耦合及多目标供需水预测，构建灌区水资源高效利用模式；研发灌区多目标输配水调度模型，构建智能灌溉决策模型；建立涵盖农业、生活、生态的抗旱韧性评估指标体系，提升旱情下水资源利用的韧性和调度效率；集成“多维感知—需水预测—智能配置—精准灌溉”为一体的灌区节水增效技术体系，研发数字孪生灌区水资源协同调控平台，在灌区示范应用。</w:t>
      </w:r>
    </w:p>
    <w:p w14:paraId="39ACADDD">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研发无人机与卫星遥感监测平台1套；研发供需水预测模型1套，预测精度提高15%以上；研发水资源配置模型1套，提升灌区用水保证率10%以上；研发灌区多目标输配水调度模型1个，提高灌溉水利用效率10%；提出灌区抗旱韧性评估指标体系1套，韧性提升10%以上；研发数字孪生灌区平台1套，示范应用面积不小于500 km</w:t>
      </w:r>
      <w:r>
        <w:rPr>
          <w:rFonts w:hint="default" w:ascii="Times New Roman" w:hAnsi="Times New Roman" w:eastAsia="仿宋_GB2312" w:cs="Times New Roman"/>
          <w:b w:val="0"/>
          <w:bCs w:val="0"/>
          <w:color w:val="auto"/>
          <w:sz w:val="32"/>
          <w:szCs w:val="32"/>
          <w:highlight w:val="none"/>
          <w:vertAlign w:val="superscript"/>
          <w:lang w:val="en-US" w:eastAsia="zh-CN"/>
        </w:rPr>
        <w:t>2</w:t>
      </w:r>
      <w:r>
        <w:rPr>
          <w:rFonts w:hint="default" w:ascii="Times New Roman" w:hAnsi="Times New Roman" w:eastAsia="仿宋_GB2312" w:cs="Times New Roman"/>
          <w:b w:val="0"/>
          <w:bCs w:val="0"/>
          <w:color w:val="auto"/>
          <w:sz w:val="32"/>
          <w:szCs w:val="32"/>
          <w:highlight w:val="none"/>
          <w:lang w:val="en-US" w:eastAsia="zh-CN"/>
        </w:rPr>
        <w:t>；申请发明专利4件及以上。</w:t>
      </w:r>
    </w:p>
    <w:p w14:paraId="733FDB28">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13E98839">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申报。</w:t>
      </w:r>
    </w:p>
    <w:p w14:paraId="01389F20">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41</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北斗与InSAR堤坝安全监测技术及应用示范</w:t>
      </w:r>
    </w:p>
    <w:p w14:paraId="3D5D6EC3">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堤坝等水利工程安全智慧监测与感知能力有待提升、风险研判能力不足的问题，开展堤坝工程安全监测与形变预测方法研究；结合InSAR技术，研发基于北斗变形监测站的河湖库储水区水情精细监测新方法，实现水利工程变形与水情一站式解算；利用北斗形变辅助InSAR进行形变校正，开展堤坝工程广域形变安全监测及时序形变预测，并在大中型水库或重要堤防监测中示范应用。</w:t>
      </w:r>
    </w:p>
    <w:p w14:paraId="053E88DB">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：构建InSAR卫星变形监测适宜性评估体系1套；提出基于北斗观测数据的水情监测算法1套；北斗与InSAR水利设施安全监测技术在大中型水库和重要堤防示范应用各1个，示范面积不小于1.0 km2，综合监测精度优于6 mm；提出基于机器学习的形变时间序列预测方法1种，预测精度达到毫米级；申请发明专利2件以上。</w:t>
      </w:r>
    </w:p>
    <w:p w14:paraId="250BACBD">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100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76B9E261">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7BCD6645">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0"/>
        <w:rPr>
          <w:rFonts w:hint="eastAsia" w:ascii="楷体_GB2312" w:hAnsi="楷体_GB2312" w:eastAsia="楷体_GB2312" w:cs="楷体_GB2312"/>
          <w:b/>
          <w:bCs/>
          <w:color w:val="auto"/>
          <w:sz w:val="32"/>
          <w:szCs w:val="32"/>
          <w:highlight w:val="none"/>
          <w:lang w:val="en-US" w:eastAsia="zh-CN"/>
        </w:rPr>
      </w:pPr>
      <w:r>
        <w:rPr>
          <w:rFonts w:hint="default" w:ascii="楷体_GB2312" w:hAnsi="楷体_GB2312" w:eastAsia="楷体_GB2312" w:cs="楷体_GB2312"/>
          <w:b/>
          <w:bCs/>
          <w:color w:val="auto"/>
          <w:sz w:val="32"/>
          <w:szCs w:val="32"/>
          <w:highlight w:val="none"/>
          <w:lang w:eastAsia="zh-CN"/>
        </w:rPr>
        <w:t>（七）地质矿产</w:t>
      </w:r>
    </w:p>
    <w:p w14:paraId="6825F811">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42</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江西燕山期高产热花岗岩相关矿产成矿规律及勘查示范（青年科学家项目）</w:t>
      </w:r>
    </w:p>
    <w:p w14:paraId="544F8127">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江西燕山期高产热花岗岩钨锡钽锂铀等典型矿床成矿机制不清、花岗岩与各成矿元素相关性不明等关键问题，开展其成岩成矿作用研究，查明岩浆-构造-成矿耦合要素，建立成矿模式，总结成矿规律；综合运用多光谱-高光谱技术、地球物理、地球化学、短波红外蚀变矿物测量和三维地质建模预测等探测和预测技术，构建综合勘查模型，形成高效勘查技术组合，指导同类型矿床的找矿。</w:t>
      </w:r>
    </w:p>
    <w:p w14:paraId="3019D1D6">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阐明江西燕山期高产热花岗岩钨锡钽锂铀等典型矿床的成矿规律，构建地质-地球物理-地球化学-遥感综合勘查模型3套；圈定找矿靶区2处；通过增储示范新增资源量：氧化锂30万吨，五氧化二钽1000吨，三氧化钨8万吨，氧化锡资源量2万吨；申请发明专利1-2件。</w:t>
      </w:r>
    </w:p>
    <w:p w14:paraId="245BA3F3">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4DA921F8">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31050AD9">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43</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江西中生代陆相火山盆地铜金多金属矿勘查技术及示范</w:t>
      </w:r>
    </w:p>
    <w:p w14:paraId="70B9D317">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江西中生代陆相火山盆地深部铜金多金属成矿地质条件不清、找矿理论依据不足、关键勘查技术方法不明等问题，开展江西中生代陆相火山盆地构造-岩浆-成矿耦合关系研究；开展中生代陆相火山盆地多光谱-高光谱、综合填图、地球化学勘查、地球物理探测技术研究；构建陆相火山盆地区域成矿模式、找矿模型和高效勘查技术方法体系，开展应用示范。</w:t>
      </w:r>
    </w:p>
    <w:p w14:paraId="6B708D30">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：建立铜金多金属找矿模型1个；构建中生代陆相火山盆地铜金多金属矿综合勘查技术方法组合1套；圈定找矿靶区3处；通过勘查示范新增资源量：铜≥10万吨、金≥5吨、银&lt;1000吨；申请发明专利1-2件。</w:t>
      </w:r>
    </w:p>
    <w:p w14:paraId="7D93CC28">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77908E60">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或联合企业申报。</w:t>
      </w:r>
    </w:p>
    <w:p w14:paraId="2A0C59B4">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44</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沉积型钒铼矿成矿规律预测找矿及应用</w:t>
      </w:r>
    </w:p>
    <w:p w14:paraId="7FEF1996">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沉积型钒、铼等矿产资源成矿规律、控矿要素、智能预测等关键问题，开展沉积岩型钒、铼等分布规律、控矿因素研究，阐明成矿规律，建立成矿模式；开展智能找矿预测技术研究，实现对沉积型钒铼矿高效识别与预测；应用地-物-化-智能预测技术，评价钒铼矿产资源潜力并圈定找矿靶区，实施工程验证。</w:t>
      </w:r>
    </w:p>
    <w:p w14:paraId="43F106E8">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：建立沉积型钒铼等成矿模式、找矿模型；研发智能找矿预测技术1套；圈定找矿靶区3处；通过勘查示范新增资源量：五氧化二钒25万吨，共伴生铼5吨。</w:t>
      </w:r>
    </w:p>
    <w:p w14:paraId="273E8091">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00CFB741">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45</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共伴生低品位镍资源高效利用技术及应用示范</w:t>
      </w:r>
    </w:p>
    <w:p w14:paraId="6FB32D8A">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我国镍资源储量不高、高品位资源有限、对外依存度持续攀升、资源安全面临严峻挑战的问题，开展低品位镍矿矿物工艺学研究，研发选择性提取技术，解决低品位镍矿中伴生元素的高效分离难题；开发绿色提取工艺，研发具备市场经济效益的高值化产品，开展工业化示范生产。</w:t>
      </w:r>
    </w:p>
    <w:p w14:paraId="1CDED8A2">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：查明典型共伴生低品位镍矿中镍赋存状态；研发高选择性提取工艺1套及以上，实现镍回收率≥80%；研发高性能纳米氧化物粉体，比表面积≥75 m²/g，粒径D50分布10 nm-1 μm，纯度≥99.95%，产品性能达到国际先进水平；建立镍高值化产品中试生产线1条，新增年产值1000万以上；申请发明专利2件，申请行业或国家标准1项。</w:t>
      </w:r>
    </w:p>
    <w:p w14:paraId="631B8CC6">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53C9818D">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申报。</w:t>
      </w:r>
    </w:p>
    <w:p w14:paraId="70CC220F">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46</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夏热冬冷地区浅层地热能利用技术及应用示范</w:t>
      </w:r>
    </w:p>
    <w:p w14:paraId="4CD16CF6">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夏热冬冷地区浅层地热能勘查精度低、地下水回灌易堵塞、热岛效应显著等问题，开展岩土水热物性与浅层地热能赋存机理研究，研发高效探测技术，开展浅层地热能开发利用潜力评价；开展大规模地下水回灌防堵塞、降低热岛效应等技术研发；开展智慧监控技术研究，构建地源热泵系统远程监控与能效测评技术；构建浅层地热能“勘查—开发—监测—评估”全产业链技术体系，并开展工程应用示范。</w:t>
      </w:r>
    </w:p>
    <w:p w14:paraId="0AF1BBC9">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构建热物性参数高效探测与浅层地热能开发利用潜力评价技术1套，建设智慧监控平台1项（允许接入最大工程数≥100项、初期接入工程数≥10项，监测数据采集频率可自主调控且最大频率≥1次/分钟），热物性参数误差率≤10%、提升浅层地热能勘查效率≥40%；构建地下水源与土壤源等多源多供（制冷、制热与供生活热水等）浅层地热能开发成套技术，实现地下水大规模持续回灌和冷热负荷智能平衡，回灌率≥95%；建设浅层地热能全产业链技术体系应用示范工程1项，制冷供暖面积≥1万平方米；申请发明专利2件及以上，获软件著作权3项。</w:t>
      </w:r>
    </w:p>
    <w:p w14:paraId="2C71AB4B">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58F22FE5">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outlineLvl w:val="1"/>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47</w:t>
      </w:r>
      <w:r>
        <w:rPr>
          <w:rFonts w:hint="eastAsia"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lang w:val="en-US" w:eastAsia="zh-CN"/>
        </w:rPr>
        <w:t>江西铜多金属硫化矿绿色浮选、伴生资源利用技术及应用</w:t>
      </w:r>
    </w:p>
    <w:p w14:paraId="12AD8A85">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研究内容</w:t>
      </w:r>
      <w:r>
        <w:rPr>
          <w:rFonts w:hint="default" w:ascii="Times New Roman" w:hAnsi="Times New Roman" w:eastAsia="仿宋_GB2312" w:cs="Times New Roman"/>
          <w:b w:val="0"/>
          <w:bCs w:val="0"/>
          <w:color w:val="auto"/>
          <w:sz w:val="32"/>
          <w:szCs w:val="32"/>
          <w:highlight w:val="none"/>
          <w:lang w:val="en-US" w:eastAsia="zh-CN"/>
        </w:rPr>
        <w:t>：针对江西省铜多金属硫化矿处理技术复杂、伴生资源回收率低、环境达标成本高等问题，研究铜多金属硫化矿磨矿过程单体解离方法，开发超细窄粒级再磨新技术；研究铜多金属硫化矿浮选体系矿物表界面特性，解析矿物表界面的吸附位点种类、密度和反应活性；研发高效铜捕收剂与低碱硫抑制剂；研究铜多金属硫化矿浮选矿浆电化学特性与矿物界面响应机制，开发电化学调控浮选技术；研究铜多金属硫化矿分离过程中伴生镓锗金银等稀散稀贵金属迁移规律，开发伴生资源高效富集、定向分离新技术，并开展工程应用示范。</w:t>
      </w:r>
    </w:p>
    <w:p w14:paraId="60D85DB3">
      <w:pPr>
        <w:keepNext w:val="0"/>
        <w:keepLines w:val="0"/>
        <w:pageBreakBefore w:val="0"/>
        <w:widowControl w:val="0"/>
        <w:kinsoku/>
        <w:wordWrap/>
        <w:overflowPunct/>
        <w:topLinePunct w:val="0"/>
        <w:autoSpaceDE/>
        <w:autoSpaceDN/>
        <w:bidi w:val="0"/>
        <w:adjustRightInd/>
        <w:snapToGrid/>
        <w:spacing w:afterLines="0" w:line="60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考核指标</w:t>
      </w:r>
      <w:r>
        <w:rPr>
          <w:rFonts w:hint="default" w:ascii="Times New Roman" w:hAnsi="Times New Roman" w:eastAsia="仿宋_GB2312" w:cs="Times New Roman"/>
          <w:b w:val="0"/>
          <w:bCs w:val="0"/>
          <w:color w:val="auto"/>
          <w:sz w:val="32"/>
          <w:szCs w:val="32"/>
          <w:highlight w:val="none"/>
          <w:lang w:val="en-US" w:eastAsia="zh-CN"/>
        </w:rPr>
        <w:t>：研发铜多金属硫化矿绿色低碳浮选分离新技术，形成铜硫年处理量≥150万吨选矿厂工程示范，与现有工艺相比，选矿过程再磨能耗减少10-20%，有效分选粒级增加15-20%，浮选矿浆pH值降低至10左右，石灰用量减少30%，铜回收率提高1-3%，金银等伴生资源回收率提高3-5%；开发铜多金属硫化矿绿色新型浮选药剂2种及以上；申请发明专利4件。</w:t>
      </w:r>
    </w:p>
    <w:p w14:paraId="08F461DB">
      <w:pPr>
        <w:pStyle w:val="3"/>
        <w:keepNext w:val="0"/>
        <w:keepLines w:val="0"/>
        <w:pageBreakBefore w:val="0"/>
        <w:widowControl w:val="0"/>
        <w:kinsoku/>
        <w:wordWrap/>
        <w:overflowPunct/>
        <w:topLinePunct w:val="0"/>
        <w:autoSpaceDE/>
        <w:autoSpaceDN/>
        <w:bidi w:val="0"/>
        <w:adjustRightInd/>
        <w:snapToGrid/>
        <w:spacing w:after="0" w:afterLines="0" w:line="600" w:lineRule="exact"/>
        <w:ind w:firstLine="643" w:firstLineChars="200"/>
        <w:jc w:val="both"/>
        <w:textAlignment w:val="auto"/>
        <w:rPr>
          <w:rFonts w:hint="default" w:ascii="Times New Roman" w:hAnsi="Times New Roman" w:eastAsia="仿宋_GB2312" w:cs="Times New Roman"/>
          <w:snapToGrid w:val="0"/>
          <w:color w:val="auto"/>
          <w:kern w:val="0"/>
          <w:sz w:val="32"/>
          <w:szCs w:val="32"/>
          <w:highlight w:val="none"/>
          <w:lang w:val="en-US" w:eastAsia="zh-CN" w:bidi="ar-SA"/>
        </w:rPr>
      </w:pPr>
      <w:r>
        <w:rPr>
          <w:rFonts w:hint="default" w:ascii="Times New Roman" w:hAnsi="Times New Roman" w:eastAsia="仿宋_GB2312" w:cs="Times New Roman"/>
          <w:b/>
          <w:bCs/>
          <w:snapToGrid w:val="0"/>
          <w:color w:val="auto"/>
          <w:kern w:val="0"/>
          <w:sz w:val="32"/>
          <w:szCs w:val="32"/>
          <w:highlight w:val="none"/>
          <w:lang w:val="en-US" w:eastAsia="zh-CN"/>
        </w:rPr>
        <w:t>经费说明：</w:t>
      </w:r>
      <w:r>
        <w:rPr>
          <w:rFonts w:hint="default" w:ascii="Times New Roman" w:hAnsi="Times New Roman" w:eastAsia="仿宋_GB2312" w:cs="Times New Roman"/>
          <w:b w:val="0"/>
          <w:bCs w:val="0"/>
          <w:color w:val="auto"/>
          <w:kern w:val="2"/>
          <w:sz w:val="32"/>
          <w:szCs w:val="32"/>
          <w:highlight w:val="none"/>
          <w:lang w:val="en-US" w:eastAsia="zh-CN" w:bidi="ar-SA"/>
        </w:rPr>
        <w:t>省财政经费概算</w:t>
      </w:r>
      <w:r>
        <w:rPr>
          <w:rFonts w:hint="default" w:ascii="Times New Roman" w:hAnsi="Times New Roman" w:eastAsia="仿宋_GB2312" w:cs="Times New Roman"/>
          <w:snapToGrid w:val="0"/>
          <w:color w:val="auto"/>
          <w:kern w:val="0"/>
          <w:sz w:val="32"/>
          <w:szCs w:val="32"/>
          <w:highlight w:val="none"/>
          <w:lang w:val="en-US" w:eastAsia="zh-CN" w:bidi="ar-SA"/>
        </w:rPr>
        <w:t>120</w:t>
      </w:r>
      <w:r>
        <w:rPr>
          <w:rFonts w:hint="default" w:ascii="Times New Roman" w:hAnsi="Times New Roman" w:eastAsia="仿宋_GB2312" w:cs="Times New Roman"/>
          <w:b w:val="0"/>
          <w:bCs w:val="0"/>
          <w:color w:val="auto"/>
          <w:kern w:val="2"/>
          <w:sz w:val="32"/>
          <w:szCs w:val="32"/>
          <w:highlight w:val="none"/>
          <w:lang w:val="en-US" w:eastAsia="zh-CN" w:bidi="ar-SA"/>
        </w:rPr>
        <w:t>万元</w:t>
      </w:r>
      <w:r>
        <w:rPr>
          <w:rFonts w:hint="default" w:ascii="Times New Roman" w:hAnsi="Times New Roman" w:eastAsia="仿宋_GB2312" w:cs="Times New Roman"/>
          <w:snapToGrid w:val="0"/>
          <w:color w:val="auto"/>
          <w:kern w:val="0"/>
          <w:sz w:val="32"/>
          <w:szCs w:val="32"/>
          <w:highlight w:val="none"/>
          <w:lang w:val="en-US" w:eastAsia="zh-CN" w:bidi="ar-SA"/>
        </w:rPr>
        <w:t>。</w:t>
      </w:r>
    </w:p>
    <w:p w14:paraId="38038EB2">
      <w:pPr>
        <w:pStyle w:val="2"/>
        <w:keepNext w:val="0"/>
        <w:keepLines w:val="0"/>
        <w:pageBreakBefore w:val="0"/>
        <w:widowControl w:val="0"/>
        <w:kinsoku/>
        <w:wordWrap/>
        <w:overflowPunct/>
        <w:topLinePunct w:val="0"/>
        <w:autoSpaceDE/>
        <w:autoSpaceDN/>
        <w:bidi w:val="0"/>
        <w:adjustRightInd/>
        <w:snapToGrid/>
        <w:spacing w:after="0" w:line="600" w:lineRule="exact"/>
        <w:ind w:firstLine="64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b/>
          <w:bCs/>
          <w:color w:val="auto"/>
          <w:sz w:val="32"/>
          <w:szCs w:val="32"/>
          <w:highlight w:val="none"/>
          <w:lang w:val="en-US" w:eastAsia="zh-CN"/>
        </w:rPr>
        <w:t>其他说明：</w:t>
      </w:r>
      <w:r>
        <w:rPr>
          <w:rFonts w:hint="default" w:ascii="Times New Roman" w:hAnsi="Times New Roman" w:eastAsia="仿宋_GB2312" w:cs="Times New Roman"/>
          <w:b w:val="0"/>
          <w:bCs w:val="0"/>
          <w:color w:val="auto"/>
          <w:kern w:val="2"/>
          <w:sz w:val="32"/>
          <w:szCs w:val="32"/>
          <w:highlight w:val="none"/>
          <w:lang w:val="en" w:eastAsia="zh-CN" w:bidi="ar-SA"/>
        </w:rPr>
        <w:t>企业牵头</w:t>
      </w:r>
      <w:r>
        <w:rPr>
          <w:rFonts w:hint="default" w:ascii="Times New Roman" w:hAnsi="Times New Roman" w:eastAsia="仿宋_GB2312" w:cs="Times New Roman"/>
          <w:b w:val="0"/>
          <w:bCs w:val="0"/>
          <w:color w:val="auto"/>
          <w:kern w:val="2"/>
          <w:sz w:val="32"/>
          <w:szCs w:val="32"/>
          <w:highlight w:val="none"/>
          <w:lang w:val="en-US" w:eastAsia="zh-CN" w:bidi="ar-SA"/>
        </w:rPr>
        <w:t>申报。</w:t>
      </w:r>
    </w:p>
    <w:p w14:paraId="4912548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1B443D"/>
    <w:rsid w:val="3C1A3546"/>
    <w:rsid w:val="661B4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afterAutospacing="0"/>
    </w:pPr>
  </w:style>
  <w:style w:type="paragraph" w:styleId="3">
    <w:name w:val="Body Text First Indent"/>
    <w:basedOn w:val="2"/>
    <w:next w:val="2"/>
    <w:unhideWhenUsed/>
    <w:qFormat/>
    <w:uiPriority w:val="99"/>
    <w:pPr>
      <w:ind w:firstLine="420" w:firstLineChars="100"/>
    </w:pPr>
  </w:style>
  <w:style w:type="paragraph" w:styleId="4">
    <w:name w:val="Body Text Indent"/>
    <w:basedOn w:val="1"/>
    <w:next w:val="5"/>
    <w:qFormat/>
    <w:uiPriority w:val="0"/>
    <w:pPr>
      <w:adjustRightInd w:val="0"/>
      <w:snapToGrid w:val="0"/>
      <w:spacing w:line="380" w:lineRule="exact"/>
      <w:ind w:firstLine="636"/>
    </w:pPr>
    <w:rPr>
      <w:szCs w:val="24"/>
    </w:rPr>
  </w:style>
  <w:style w:type="paragraph" w:styleId="5">
    <w:name w:val="Body Text First Indent 2"/>
    <w:basedOn w:val="4"/>
    <w:next w:val="3"/>
    <w:qFormat/>
    <w:uiPriority w:val="0"/>
    <w:pPr>
      <w:ind w:firstLine="200" w:firstLineChars="200"/>
    </w:pPr>
    <w:rPr>
      <w:rFonts w:ascii="Times New Roman" w:hAnsi="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2025-07-15T09:56:00Z</dcterms:created>
  <dc:creator>Elva</dc:creator>
  <cp:lastModifiedBy>Elva</cp:lastModifiedBy>
  <dcterms:modified xsi:type="dcterms:W3CDTF">2025-07-15T09:56:11Z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1909E4666B76493AA2FB204D944108EC_11</vt:lpwstr>
  </property>
  <property fmtid="{D5CDD505-2E9C-101B-9397-08002B2CF9AE}" pid="4" name="KSOTemplateDocerSaveRecord">
    <vt:lpwstr>eyJoZGlkIjoiMjlmNTcyYTM5ZmIxMTI5ZmMyYWY2ZGNiY2EzZDAxNzciLCJ1c2VySWQiOiI0NDgxMjkyNjIifQ==</vt:lpwstr>
  </property>
</Properties>
</file>